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098CD" w14:textId="77777777" w:rsidR="00ED23D0" w:rsidRDefault="00F41AA3" w:rsidP="00F41AA3">
      <w:pPr>
        <w:spacing w:line="480" w:lineRule="auto"/>
        <w:jc w:val="center"/>
        <w:rPr>
          <w:rFonts w:ascii="Times New Roman" w:hAnsi="Times New Roman" w:cs="Times New Roman"/>
          <w:sz w:val="24"/>
          <w:szCs w:val="24"/>
        </w:rPr>
      </w:pPr>
      <w:r>
        <w:rPr>
          <w:rFonts w:ascii="Times New Roman" w:hAnsi="Times New Roman" w:cs="Times New Roman"/>
          <w:sz w:val="24"/>
          <w:szCs w:val="24"/>
        </w:rPr>
        <w:t>C</w:t>
      </w:r>
      <w:r w:rsidRPr="00043766">
        <w:rPr>
          <w:rFonts w:ascii="Times New Roman" w:hAnsi="Times New Roman" w:cs="Times New Roman"/>
          <w:sz w:val="24"/>
          <w:szCs w:val="24"/>
        </w:rPr>
        <w:t>alidad del</w:t>
      </w:r>
      <w:r>
        <w:rPr>
          <w:rFonts w:ascii="Times New Roman" w:hAnsi="Times New Roman" w:cs="Times New Roman"/>
          <w:sz w:val="24"/>
          <w:szCs w:val="24"/>
        </w:rPr>
        <w:t xml:space="preserve"> Estado de Derecho y cambio institucional: reforma judicial </w:t>
      </w:r>
      <w:r>
        <w:rPr>
          <w:rFonts w:ascii="Times New Roman" w:hAnsi="Times New Roman" w:cs="Times New Roman"/>
          <w:i/>
          <w:sz w:val="24"/>
          <w:szCs w:val="24"/>
        </w:rPr>
        <w:t>vs.</w:t>
      </w:r>
      <w:r>
        <w:rPr>
          <w:rFonts w:ascii="Times New Roman" w:hAnsi="Times New Roman" w:cs="Times New Roman"/>
          <w:sz w:val="24"/>
          <w:szCs w:val="24"/>
        </w:rPr>
        <w:t xml:space="preserve"> reforma electoral en México y Chile</w:t>
      </w:r>
    </w:p>
    <w:p w14:paraId="7162DACB" w14:textId="77777777" w:rsidR="005F7D6C" w:rsidRDefault="005F7D6C" w:rsidP="00F41AA3">
      <w:pPr>
        <w:spacing w:line="480" w:lineRule="auto"/>
        <w:jc w:val="right"/>
        <w:rPr>
          <w:rFonts w:ascii="Times New Roman" w:hAnsi="Times New Roman" w:cs="Times New Roman"/>
          <w:sz w:val="24"/>
          <w:szCs w:val="24"/>
        </w:rPr>
      </w:pPr>
      <w:bookmarkStart w:id="0" w:name="_GoBack"/>
      <w:bookmarkEnd w:id="0"/>
      <w:r w:rsidRPr="00043766">
        <w:rPr>
          <w:rFonts w:ascii="Times New Roman" w:hAnsi="Times New Roman" w:cs="Times New Roman"/>
          <w:sz w:val="24"/>
          <w:szCs w:val="24"/>
        </w:rPr>
        <w:t>ALICIA GÓMEZ</w:t>
      </w:r>
    </w:p>
    <w:p w14:paraId="78709448" w14:textId="77777777" w:rsidR="006208E2" w:rsidRDefault="006208E2" w:rsidP="00043766">
      <w:pPr>
        <w:spacing w:line="480" w:lineRule="auto"/>
        <w:jc w:val="both"/>
        <w:rPr>
          <w:rFonts w:ascii="Times New Roman" w:hAnsi="Times New Roman" w:cs="Times New Roman"/>
          <w:sz w:val="24"/>
          <w:szCs w:val="24"/>
        </w:rPr>
      </w:pPr>
    </w:p>
    <w:p w14:paraId="11F575C9" w14:textId="77777777" w:rsidR="00302E0A" w:rsidRDefault="00302E0A" w:rsidP="00043766">
      <w:pPr>
        <w:spacing w:line="480" w:lineRule="auto"/>
        <w:jc w:val="both"/>
        <w:rPr>
          <w:rFonts w:ascii="Times New Roman" w:hAnsi="Times New Roman" w:cs="Times New Roman"/>
          <w:sz w:val="24"/>
          <w:szCs w:val="24"/>
        </w:rPr>
      </w:pPr>
      <w:r>
        <w:rPr>
          <w:rFonts w:ascii="Times New Roman" w:hAnsi="Times New Roman" w:cs="Times New Roman"/>
          <w:sz w:val="24"/>
          <w:szCs w:val="24"/>
        </w:rPr>
        <w:t>RESUMEN</w:t>
      </w:r>
      <w:r w:rsidR="00ED23D0">
        <w:rPr>
          <w:rFonts w:ascii="Times New Roman" w:hAnsi="Times New Roman" w:cs="Times New Roman"/>
          <w:sz w:val="24"/>
          <w:szCs w:val="24"/>
        </w:rPr>
        <w:t>.</w:t>
      </w:r>
    </w:p>
    <w:p w14:paraId="10B45B97" w14:textId="77777777" w:rsidR="00302E0A" w:rsidRDefault="00861AA8"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El artículo pretende</w:t>
      </w:r>
      <w:r w:rsidR="00302E0A">
        <w:rPr>
          <w:rFonts w:ascii="Times New Roman" w:hAnsi="Times New Roman" w:cs="Times New Roman"/>
          <w:sz w:val="24"/>
          <w:szCs w:val="24"/>
        </w:rPr>
        <w:t xml:space="preserve"> contribuir a explicar las diferencias de calidad del Estado del derecho </w:t>
      </w:r>
      <w:r>
        <w:rPr>
          <w:rFonts w:ascii="Times New Roman" w:hAnsi="Times New Roman" w:cs="Times New Roman"/>
          <w:sz w:val="24"/>
          <w:szCs w:val="24"/>
        </w:rPr>
        <w:t>entre</w:t>
      </w:r>
      <w:r w:rsidR="00302E0A">
        <w:rPr>
          <w:rFonts w:ascii="Times New Roman" w:hAnsi="Times New Roman" w:cs="Times New Roman"/>
          <w:sz w:val="24"/>
          <w:szCs w:val="24"/>
        </w:rPr>
        <w:t xml:space="preserve"> México y Chile a partir de su evolución institucional durante las décadas del 90 y del 2000. Observando la secuencia, el contexto y las estrategias del cambio institucional, muestra que mientras en Chile se privilegiaron las reformas judiciales sobre las electorales</w:t>
      </w:r>
      <w:r>
        <w:rPr>
          <w:rFonts w:ascii="Times New Roman" w:hAnsi="Times New Roman" w:cs="Times New Roman"/>
          <w:sz w:val="24"/>
          <w:szCs w:val="24"/>
        </w:rPr>
        <w:t xml:space="preserve">, en México sucedió </w:t>
      </w:r>
      <w:r w:rsidR="00302E0A">
        <w:rPr>
          <w:rFonts w:ascii="Times New Roman" w:hAnsi="Times New Roman" w:cs="Times New Roman"/>
          <w:sz w:val="24"/>
          <w:szCs w:val="24"/>
        </w:rPr>
        <w:t>lo contrario.</w:t>
      </w:r>
      <w:r>
        <w:rPr>
          <w:rFonts w:ascii="Times New Roman" w:hAnsi="Times New Roman" w:cs="Times New Roman"/>
          <w:sz w:val="24"/>
          <w:szCs w:val="24"/>
        </w:rPr>
        <w:t xml:space="preserve"> El estudio sugiere que una secuencia de cambio institucional que durante la transición y los primeros gobiernos democráticos privilegia las reformas electorales sobre las relacionadas con el Estado de derecho a la larga resulta desfavorable para la elevación de la calidad de este último.  </w:t>
      </w:r>
      <w:r w:rsidR="00302E0A">
        <w:rPr>
          <w:rFonts w:ascii="Times New Roman" w:hAnsi="Times New Roman" w:cs="Times New Roman"/>
          <w:sz w:val="24"/>
          <w:szCs w:val="24"/>
        </w:rPr>
        <w:t xml:space="preserve">  </w:t>
      </w:r>
    </w:p>
    <w:p w14:paraId="722A72D7" w14:textId="77777777" w:rsidR="00302E0A" w:rsidRDefault="00302E0A" w:rsidP="00FA33BE">
      <w:pPr>
        <w:spacing w:line="240" w:lineRule="auto"/>
        <w:jc w:val="both"/>
        <w:rPr>
          <w:rFonts w:ascii="Times New Roman" w:hAnsi="Times New Roman" w:cs="Times New Roman"/>
          <w:sz w:val="24"/>
          <w:szCs w:val="24"/>
        </w:rPr>
      </w:pPr>
    </w:p>
    <w:p w14:paraId="61848AC7" w14:textId="77777777" w:rsidR="006208E2" w:rsidRDefault="00FC67BB"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PALABRAS CLAVE</w:t>
      </w:r>
      <w:r w:rsidR="00ED23D0">
        <w:rPr>
          <w:rFonts w:ascii="Times New Roman" w:hAnsi="Times New Roman" w:cs="Times New Roman"/>
          <w:sz w:val="24"/>
          <w:szCs w:val="24"/>
        </w:rPr>
        <w:t>:</w:t>
      </w:r>
      <w:r w:rsidR="006208E2">
        <w:rPr>
          <w:rFonts w:ascii="Times New Roman" w:hAnsi="Times New Roman" w:cs="Times New Roman"/>
          <w:sz w:val="24"/>
          <w:szCs w:val="24"/>
        </w:rPr>
        <w:t xml:space="preserve"> </w:t>
      </w:r>
    </w:p>
    <w:p w14:paraId="34CCEB0E" w14:textId="77777777" w:rsidR="006208E2" w:rsidRDefault="006208E2"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Calidad de la democracia en México y Chile.</w:t>
      </w:r>
    </w:p>
    <w:p w14:paraId="34624E1B" w14:textId="77777777" w:rsidR="00ED23D0" w:rsidRDefault="006208E2"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Calidad de la democracia y cambio institucional.</w:t>
      </w:r>
    </w:p>
    <w:p w14:paraId="3A5B295E" w14:textId="77777777" w:rsidR="006208E2" w:rsidRDefault="006208E2"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Calidad del Estado de derecho en México y Chile.</w:t>
      </w:r>
    </w:p>
    <w:p w14:paraId="564EC088" w14:textId="77777777" w:rsidR="006208E2" w:rsidRDefault="006208E2"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Calidad del poder judicial en México y Chile.</w:t>
      </w:r>
    </w:p>
    <w:p w14:paraId="263D02E4" w14:textId="77777777" w:rsidR="00ED23D0" w:rsidRDefault="00ED23D0" w:rsidP="00FA33BE">
      <w:pPr>
        <w:spacing w:line="240" w:lineRule="auto"/>
        <w:jc w:val="both"/>
        <w:rPr>
          <w:rFonts w:ascii="Times New Roman" w:hAnsi="Times New Roman" w:cs="Times New Roman"/>
          <w:sz w:val="24"/>
          <w:szCs w:val="24"/>
        </w:rPr>
      </w:pPr>
    </w:p>
    <w:p w14:paraId="0DA4A45F" w14:textId="77777777" w:rsidR="007D0123" w:rsidRDefault="007D0123" w:rsidP="00FA33BE">
      <w:pPr>
        <w:spacing w:line="240" w:lineRule="auto"/>
        <w:jc w:val="both"/>
        <w:rPr>
          <w:rFonts w:ascii="Times New Roman" w:hAnsi="Times New Roman" w:cs="Times New Roman"/>
          <w:sz w:val="24"/>
          <w:szCs w:val="24"/>
        </w:rPr>
      </w:pPr>
    </w:p>
    <w:p w14:paraId="00428531" w14:textId="77777777" w:rsidR="00D83D17" w:rsidRPr="007D0123" w:rsidRDefault="007D0123" w:rsidP="00FA33BE">
      <w:pPr>
        <w:spacing w:line="240" w:lineRule="auto"/>
        <w:jc w:val="both"/>
        <w:rPr>
          <w:rFonts w:ascii="Times New Roman" w:hAnsi="Times New Roman" w:cs="Times New Roman"/>
          <w:sz w:val="24"/>
          <w:szCs w:val="24"/>
        </w:rPr>
      </w:pPr>
      <w:r w:rsidRPr="007D0123">
        <w:rPr>
          <w:rFonts w:ascii="Times New Roman" w:hAnsi="Times New Roman" w:cs="Times New Roman"/>
          <w:sz w:val="24"/>
          <w:szCs w:val="24"/>
        </w:rPr>
        <w:t>INTRODUCCIÓN</w:t>
      </w:r>
    </w:p>
    <w:p w14:paraId="12FC5084" w14:textId="77777777" w:rsidR="005F7D6C" w:rsidRDefault="00C7354B" w:rsidP="00FA33BE">
      <w:pPr>
        <w:spacing w:line="240" w:lineRule="auto"/>
        <w:jc w:val="both"/>
        <w:rPr>
          <w:rFonts w:ascii="Times New Roman" w:hAnsi="Times New Roman" w:cs="Times New Roman"/>
          <w:sz w:val="24"/>
          <w:szCs w:val="24"/>
        </w:rPr>
      </w:pPr>
      <w:r w:rsidRPr="00043766">
        <w:rPr>
          <w:rFonts w:ascii="Times New Roman" w:hAnsi="Times New Roman" w:cs="Times New Roman"/>
          <w:sz w:val="24"/>
          <w:szCs w:val="24"/>
        </w:rPr>
        <w:t xml:space="preserve">Una de las dimensiones que presentan mayores problemas de calidad en las democracias latinoamericanas es la del Estado de derecho (Morlino, 2013), y mientras que Chile es uno de los que tienen mejor desempeño en esta materia, México, por el contrario, muestra uno de los niveles más bajos. </w:t>
      </w:r>
      <w:r w:rsidR="00F30ACB">
        <w:rPr>
          <w:rFonts w:ascii="Times New Roman" w:hAnsi="Times New Roman" w:cs="Times New Roman"/>
          <w:sz w:val="24"/>
          <w:szCs w:val="24"/>
        </w:rPr>
        <w:t>Este artículo</w:t>
      </w:r>
      <w:r w:rsidR="00F30ACB" w:rsidRPr="00043766">
        <w:rPr>
          <w:rFonts w:ascii="Times New Roman" w:hAnsi="Times New Roman" w:cs="Times New Roman"/>
          <w:sz w:val="24"/>
          <w:szCs w:val="24"/>
        </w:rPr>
        <w:t xml:space="preserve"> </w:t>
      </w:r>
      <w:r w:rsidR="000735E5">
        <w:rPr>
          <w:rFonts w:ascii="Times New Roman" w:hAnsi="Times New Roman" w:cs="Times New Roman"/>
          <w:sz w:val="24"/>
          <w:szCs w:val="24"/>
        </w:rPr>
        <w:t xml:space="preserve">presenta un análisis </w:t>
      </w:r>
      <w:r w:rsidR="00F30ACB">
        <w:rPr>
          <w:rFonts w:ascii="Times New Roman" w:hAnsi="Times New Roman" w:cs="Times New Roman"/>
          <w:sz w:val="24"/>
          <w:szCs w:val="24"/>
        </w:rPr>
        <w:t xml:space="preserve">del cambio </w:t>
      </w:r>
      <w:r w:rsidR="00F30ACB" w:rsidRPr="00043766">
        <w:rPr>
          <w:rFonts w:ascii="Times New Roman" w:hAnsi="Times New Roman" w:cs="Times New Roman"/>
          <w:sz w:val="24"/>
          <w:szCs w:val="24"/>
        </w:rPr>
        <w:t>inst</w:t>
      </w:r>
      <w:r w:rsidR="003511EE">
        <w:rPr>
          <w:rFonts w:ascii="Times New Roman" w:hAnsi="Times New Roman" w:cs="Times New Roman"/>
          <w:sz w:val="24"/>
          <w:szCs w:val="24"/>
        </w:rPr>
        <w:t>itucional</w:t>
      </w:r>
      <w:r w:rsidR="000735E5">
        <w:rPr>
          <w:rFonts w:ascii="Times New Roman" w:hAnsi="Times New Roman" w:cs="Times New Roman"/>
          <w:sz w:val="24"/>
          <w:szCs w:val="24"/>
        </w:rPr>
        <w:t xml:space="preserve"> en estos países,</w:t>
      </w:r>
      <w:r w:rsidR="003511EE">
        <w:rPr>
          <w:rFonts w:ascii="Times New Roman" w:hAnsi="Times New Roman" w:cs="Times New Roman"/>
          <w:sz w:val="24"/>
          <w:szCs w:val="24"/>
        </w:rPr>
        <w:t xml:space="preserve"> relacionado con ciertas dimensiones</w:t>
      </w:r>
      <w:r w:rsidR="000735E5">
        <w:rPr>
          <w:rFonts w:ascii="Times New Roman" w:hAnsi="Times New Roman" w:cs="Times New Roman"/>
          <w:sz w:val="24"/>
          <w:szCs w:val="24"/>
        </w:rPr>
        <w:t>,</w:t>
      </w:r>
      <w:r w:rsidR="00F30ACB" w:rsidRPr="00043766">
        <w:rPr>
          <w:rFonts w:ascii="Times New Roman" w:hAnsi="Times New Roman" w:cs="Times New Roman"/>
          <w:sz w:val="24"/>
          <w:szCs w:val="24"/>
        </w:rPr>
        <w:t xml:space="preserve"> con el fin de estable</w:t>
      </w:r>
      <w:r w:rsidR="000735E5">
        <w:rPr>
          <w:rFonts w:ascii="Times New Roman" w:hAnsi="Times New Roman" w:cs="Times New Roman"/>
          <w:sz w:val="24"/>
          <w:szCs w:val="24"/>
        </w:rPr>
        <w:t xml:space="preserve">cer en qué medida </w:t>
      </w:r>
      <w:r w:rsidR="00F30ACB" w:rsidRPr="00043766">
        <w:rPr>
          <w:rFonts w:ascii="Times New Roman" w:hAnsi="Times New Roman" w:cs="Times New Roman"/>
          <w:sz w:val="24"/>
          <w:szCs w:val="24"/>
        </w:rPr>
        <w:t>permit</w:t>
      </w:r>
      <w:r w:rsidR="003511EE">
        <w:rPr>
          <w:rFonts w:ascii="Times New Roman" w:hAnsi="Times New Roman" w:cs="Times New Roman"/>
          <w:sz w:val="24"/>
          <w:szCs w:val="24"/>
        </w:rPr>
        <w:t>e explicar las diferencias en</w:t>
      </w:r>
      <w:r w:rsidR="00F30ACB" w:rsidRPr="00043766">
        <w:rPr>
          <w:rFonts w:ascii="Times New Roman" w:hAnsi="Times New Roman" w:cs="Times New Roman"/>
          <w:sz w:val="24"/>
          <w:szCs w:val="24"/>
        </w:rPr>
        <w:t xml:space="preserve"> los niveles de calidad.</w:t>
      </w:r>
      <w:r w:rsidR="00400F77">
        <w:rPr>
          <w:rFonts w:ascii="Times New Roman" w:hAnsi="Times New Roman" w:cs="Times New Roman"/>
          <w:sz w:val="24"/>
          <w:szCs w:val="24"/>
        </w:rPr>
        <w:t xml:space="preserve"> Dado que una de las subdimensiones clave del Estado de derecho es la del sistema judicial, el estudio se centra en su evolución institucional </w:t>
      </w:r>
      <w:r w:rsidR="00400F77">
        <w:rPr>
          <w:rFonts w:ascii="Times New Roman" w:hAnsi="Times New Roman" w:cs="Times New Roman"/>
          <w:i/>
          <w:sz w:val="24"/>
          <w:szCs w:val="24"/>
        </w:rPr>
        <w:t>vs.</w:t>
      </w:r>
      <w:r w:rsidR="00400F77">
        <w:rPr>
          <w:rFonts w:ascii="Times New Roman" w:hAnsi="Times New Roman" w:cs="Times New Roman"/>
          <w:sz w:val="24"/>
          <w:szCs w:val="24"/>
        </w:rPr>
        <w:t xml:space="preserve"> la evolución de la</w:t>
      </w:r>
      <w:r w:rsidR="00DD79C0">
        <w:rPr>
          <w:rFonts w:ascii="Times New Roman" w:hAnsi="Times New Roman" w:cs="Times New Roman"/>
          <w:sz w:val="24"/>
          <w:szCs w:val="24"/>
        </w:rPr>
        <w:t>s reformas electorales, ya que e</w:t>
      </w:r>
      <w:r w:rsidR="00400F77">
        <w:rPr>
          <w:rFonts w:ascii="Times New Roman" w:hAnsi="Times New Roman" w:cs="Times New Roman"/>
          <w:sz w:val="24"/>
          <w:szCs w:val="24"/>
        </w:rPr>
        <w:t>stas</w:t>
      </w:r>
      <w:r w:rsidR="00DD79C0">
        <w:rPr>
          <w:rFonts w:ascii="Times New Roman" w:hAnsi="Times New Roman" w:cs="Times New Roman"/>
          <w:sz w:val="24"/>
          <w:szCs w:val="24"/>
        </w:rPr>
        <w:t xml:space="preserve"> últimas</w:t>
      </w:r>
      <w:r w:rsidR="00400F77">
        <w:rPr>
          <w:rFonts w:ascii="Times New Roman" w:hAnsi="Times New Roman" w:cs="Times New Roman"/>
          <w:sz w:val="24"/>
          <w:szCs w:val="24"/>
        </w:rPr>
        <w:t xml:space="preserve"> son las típicas reformas</w:t>
      </w:r>
      <w:r w:rsidR="000735E5">
        <w:rPr>
          <w:rFonts w:ascii="Times New Roman" w:hAnsi="Times New Roman" w:cs="Times New Roman"/>
          <w:sz w:val="24"/>
          <w:szCs w:val="24"/>
        </w:rPr>
        <w:t xml:space="preserve"> que obligadamente se presentan en un proceso de transición y consolidación democrática.</w:t>
      </w:r>
      <w:r w:rsidR="003A78CA">
        <w:rPr>
          <w:rFonts w:ascii="Times New Roman" w:hAnsi="Times New Roman" w:cs="Times New Roman"/>
          <w:sz w:val="24"/>
          <w:szCs w:val="24"/>
        </w:rPr>
        <w:t xml:space="preserve"> El estudio se centra en la secuencia, el contexto y las estrategias de cambio institucional durante las décadas del 90 y del 2000, para explorar su relación con los niveles actua</w:t>
      </w:r>
      <w:r w:rsidR="007D0123">
        <w:rPr>
          <w:rFonts w:ascii="Times New Roman" w:hAnsi="Times New Roman" w:cs="Times New Roman"/>
          <w:sz w:val="24"/>
          <w:szCs w:val="24"/>
        </w:rPr>
        <w:t>les de calidad</w:t>
      </w:r>
      <w:r w:rsidR="00C329B0">
        <w:rPr>
          <w:rFonts w:ascii="Times New Roman" w:hAnsi="Times New Roman" w:cs="Times New Roman"/>
          <w:sz w:val="24"/>
          <w:szCs w:val="24"/>
        </w:rPr>
        <w:t xml:space="preserve"> del Estado de derecho en México y Chile. </w:t>
      </w:r>
      <w:r w:rsidR="007D0123">
        <w:rPr>
          <w:rFonts w:ascii="Times New Roman" w:hAnsi="Times New Roman" w:cs="Times New Roman"/>
          <w:sz w:val="24"/>
          <w:szCs w:val="24"/>
        </w:rPr>
        <w:t xml:space="preserve"> </w:t>
      </w:r>
    </w:p>
    <w:p w14:paraId="74A995C4" w14:textId="77777777" w:rsidR="00885E99" w:rsidRDefault="007D0123" w:rsidP="00FA33BE">
      <w:pPr>
        <w:numPr>
          <w:ilvl w:val="0"/>
          <w:numId w:val="1"/>
        </w:numPr>
        <w:spacing w:line="240" w:lineRule="auto"/>
        <w:jc w:val="both"/>
        <w:rPr>
          <w:rFonts w:ascii="Times New Roman" w:hAnsi="Times New Roman" w:cs="Times New Roman"/>
          <w:b/>
          <w:sz w:val="24"/>
          <w:szCs w:val="24"/>
        </w:rPr>
      </w:pPr>
      <w:r w:rsidRPr="00043766">
        <w:rPr>
          <w:rFonts w:ascii="Times New Roman" w:hAnsi="Times New Roman" w:cs="Times New Roman"/>
          <w:b/>
          <w:sz w:val="24"/>
          <w:szCs w:val="24"/>
        </w:rPr>
        <w:lastRenderedPageBreak/>
        <w:t>CALIDAD DE LA DEMOCRACIA Y CAMBIO INSTITUCIONAL.</w:t>
      </w:r>
    </w:p>
    <w:p w14:paraId="28E38928" w14:textId="77777777" w:rsidR="00855C2C" w:rsidRPr="00885E99" w:rsidRDefault="00885E99" w:rsidP="00FA33BE">
      <w:pPr>
        <w:spacing w:line="240" w:lineRule="auto"/>
        <w:jc w:val="both"/>
        <w:rPr>
          <w:rFonts w:ascii="Times New Roman" w:hAnsi="Times New Roman" w:cs="Times New Roman"/>
          <w:b/>
          <w:sz w:val="24"/>
          <w:szCs w:val="24"/>
        </w:rPr>
      </w:pPr>
      <w:r>
        <w:rPr>
          <w:rFonts w:ascii="Times New Roman" w:hAnsi="Times New Roman" w:cs="Times New Roman"/>
          <w:sz w:val="24"/>
          <w:szCs w:val="24"/>
        </w:rPr>
        <w:t>Se ha s</w:t>
      </w:r>
      <w:r w:rsidR="00CB4333" w:rsidRPr="00885E99">
        <w:rPr>
          <w:rFonts w:ascii="Times New Roman" w:hAnsi="Times New Roman" w:cs="Times New Roman"/>
          <w:sz w:val="24"/>
          <w:szCs w:val="24"/>
        </w:rPr>
        <w:t>eñalado que para que el enfoque de la calidad de la democracia sea capaz de desarrollar mayores alcances explicativos</w:t>
      </w:r>
      <w:r w:rsidR="00CC6D50" w:rsidRPr="00885E99">
        <w:rPr>
          <w:rFonts w:ascii="Times New Roman" w:hAnsi="Times New Roman" w:cs="Times New Roman"/>
          <w:sz w:val="24"/>
          <w:szCs w:val="24"/>
        </w:rPr>
        <w:t xml:space="preserve"> se requiere </w:t>
      </w:r>
      <w:r w:rsidR="00CB4333" w:rsidRPr="00885E99">
        <w:rPr>
          <w:rFonts w:ascii="Times New Roman" w:hAnsi="Times New Roman" w:cs="Times New Roman"/>
          <w:sz w:val="24"/>
          <w:szCs w:val="24"/>
        </w:rPr>
        <w:t>indagar sobre las</w:t>
      </w:r>
      <w:r w:rsidR="00CC6D50" w:rsidRPr="00885E99">
        <w:rPr>
          <w:rFonts w:ascii="Times New Roman" w:hAnsi="Times New Roman" w:cs="Times New Roman"/>
          <w:sz w:val="24"/>
          <w:szCs w:val="24"/>
        </w:rPr>
        <w:t xml:space="preserve"> formas en que han cambiado y evolucionado, durante las últimas décadas, las jóvenes democracias latinoamericanas, así como establecer los determinantes principales de tal evolución</w:t>
      </w:r>
      <w:r w:rsidRPr="00885E99">
        <w:rPr>
          <w:rFonts w:ascii="Times New Roman" w:hAnsi="Times New Roman" w:cs="Times New Roman"/>
          <w:sz w:val="24"/>
          <w:szCs w:val="24"/>
        </w:rPr>
        <w:t xml:space="preserve"> (Morlino 2013, p. 54)</w:t>
      </w:r>
      <w:r w:rsidR="00CC6D50" w:rsidRPr="00885E99">
        <w:rPr>
          <w:rFonts w:ascii="Times New Roman" w:hAnsi="Times New Roman" w:cs="Times New Roman"/>
          <w:sz w:val="24"/>
          <w:szCs w:val="24"/>
        </w:rPr>
        <w:t xml:space="preserve">. </w:t>
      </w:r>
      <w:r w:rsidR="003511EE">
        <w:rPr>
          <w:rFonts w:ascii="Times New Roman" w:hAnsi="Times New Roman" w:cs="Times New Roman"/>
          <w:sz w:val="24"/>
          <w:szCs w:val="24"/>
        </w:rPr>
        <w:t>A</w:t>
      </w:r>
      <w:r w:rsidR="00FA5ECF" w:rsidRPr="00885E99">
        <w:rPr>
          <w:rFonts w:ascii="Times New Roman" w:hAnsi="Times New Roman" w:cs="Times New Roman"/>
          <w:sz w:val="24"/>
          <w:szCs w:val="24"/>
        </w:rPr>
        <w:t>nalizar el</w:t>
      </w:r>
      <w:r w:rsidR="00CC6D50" w:rsidRPr="00885E99">
        <w:rPr>
          <w:rFonts w:ascii="Times New Roman" w:hAnsi="Times New Roman" w:cs="Times New Roman"/>
          <w:sz w:val="24"/>
          <w:szCs w:val="24"/>
        </w:rPr>
        <w:t xml:space="preserve"> cambio contribuiría al desarrollo de una teoría más profunda </w:t>
      </w:r>
      <w:r w:rsidR="00CB4333" w:rsidRPr="00885E99">
        <w:rPr>
          <w:rFonts w:ascii="Times New Roman" w:hAnsi="Times New Roman" w:cs="Times New Roman"/>
          <w:sz w:val="24"/>
          <w:szCs w:val="24"/>
        </w:rPr>
        <w:t>y una mejor explicación de los buenos o malos niveles de calidad</w:t>
      </w:r>
      <w:r w:rsidR="00CC6D50" w:rsidRPr="00885E99">
        <w:rPr>
          <w:rFonts w:ascii="Times New Roman" w:hAnsi="Times New Roman" w:cs="Times New Roman"/>
          <w:sz w:val="24"/>
          <w:szCs w:val="24"/>
        </w:rPr>
        <w:t xml:space="preserve">. </w:t>
      </w:r>
      <w:r w:rsidR="00A25D0F">
        <w:rPr>
          <w:rFonts w:ascii="Times New Roman" w:hAnsi="Times New Roman" w:cs="Times New Roman"/>
          <w:sz w:val="24"/>
          <w:szCs w:val="24"/>
        </w:rPr>
        <w:t>Sin embargo, no existe una propuesta bien desarrollada sobre cómo estudiar esa evolución, ya que sería deseable que dicho análisis no se limitara al recuento de la trayectoria de</w:t>
      </w:r>
      <w:r w:rsidR="004F3634" w:rsidRPr="00885E99">
        <w:rPr>
          <w:rFonts w:ascii="Times New Roman" w:hAnsi="Times New Roman" w:cs="Times New Roman"/>
          <w:sz w:val="24"/>
          <w:szCs w:val="24"/>
        </w:rPr>
        <w:t xml:space="preserve"> los indicadores de calidad en las distin</w:t>
      </w:r>
      <w:r w:rsidR="00FA5ECF" w:rsidRPr="00885E99">
        <w:rPr>
          <w:rFonts w:ascii="Times New Roman" w:hAnsi="Times New Roman" w:cs="Times New Roman"/>
          <w:sz w:val="24"/>
          <w:szCs w:val="24"/>
        </w:rPr>
        <w:t xml:space="preserve">tas dimensiones usualmente consideradas. Además de eso, habría que considerar con cierta profundidad </w:t>
      </w:r>
      <w:r w:rsidR="003511EE">
        <w:rPr>
          <w:rFonts w:ascii="Times New Roman" w:hAnsi="Times New Roman" w:cs="Times New Roman"/>
          <w:sz w:val="24"/>
          <w:szCs w:val="24"/>
        </w:rPr>
        <w:t>de qué</w:t>
      </w:r>
      <w:r w:rsidR="00FA5ECF" w:rsidRPr="00885E99">
        <w:rPr>
          <w:rFonts w:ascii="Times New Roman" w:hAnsi="Times New Roman" w:cs="Times New Roman"/>
          <w:sz w:val="24"/>
          <w:szCs w:val="24"/>
        </w:rPr>
        <w:t xml:space="preserve"> manera se han producido los principales cambios instituci</w:t>
      </w:r>
      <w:r w:rsidR="005A0842" w:rsidRPr="00885E99">
        <w:rPr>
          <w:rFonts w:ascii="Times New Roman" w:hAnsi="Times New Roman" w:cs="Times New Roman"/>
          <w:sz w:val="24"/>
          <w:szCs w:val="24"/>
        </w:rPr>
        <w:t xml:space="preserve">onales que han dado lugar a que las democracias de hoy en día en el continente latinoamericano enfrenten los problemas que enfrentan. </w:t>
      </w:r>
    </w:p>
    <w:p w14:paraId="3C118073" w14:textId="77777777" w:rsidR="0073471F" w:rsidRPr="00043766" w:rsidRDefault="00855C2C" w:rsidP="00FA33BE">
      <w:pPr>
        <w:spacing w:line="240" w:lineRule="auto"/>
        <w:jc w:val="both"/>
        <w:rPr>
          <w:rFonts w:ascii="Times New Roman" w:hAnsi="Times New Roman" w:cs="Times New Roman"/>
          <w:sz w:val="24"/>
          <w:szCs w:val="24"/>
        </w:rPr>
      </w:pPr>
      <w:r w:rsidRPr="00043766">
        <w:rPr>
          <w:rFonts w:ascii="Times New Roman" w:hAnsi="Times New Roman" w:cs="Times New Roman"/>
          <w:sz w:val="24"/>
          <w:szCs w:val="24"/>
        </w:rPr>
        <w:t>E</w:t>
      </w:r>
      <w:r w:rsidR="005A0842" w:rsidRPr="00043766">
        <w:rPr>
          <w:rFonts w:ascii="Times New Roman" w:hAnsi="Times New Roman" w:cs="Times New Roman"/>
          <w:sz w:val="24"/>
          <w:szCs w:val="24"/>
        </w:rPr>
        <w:t>l</w:t>
      </w:r>
      <w:r w:rsidRPr="00043766">
        <w:rPr>
          <w:rFonts w:ascii="Times New Roman" w:hAnsi="Times New Roman" w:cs="Times New Roman"/>
          <w:sz w:val="24"/>
          <w:szCs w:val="24"/>
        </w:rPr>
        <w:t xml:space="preserve"> </w:t>
      </w:r>
      <w:r w:rsidR="005A0842" w:rsidRPr="00043766">
        <w:rPr>
          <w:rFonts w:ascii="Times New Roman" w:hAnsi="Times New Roman" w:cs="Times New Roman"/>
          <w:sz w:val="24"/>
          <w:szCs w:val="24"/>
        </w:rPr>
        <w:t>cambio institucional</w:t>
      </w:r>
      <w:r w:rsidRPr="00043766">
        <w:rPr>
          <w:rFonts w:ascii="Times New Roman" w:hAnsi="Times New Roman" w:cs="Times New Roman"/>
          <w:sz w:val="24"/>
          <w:szCs w:val="24"/>
        </w:rPr>
        <w:t xml:space="preserve"> es un tema complejo</w:t>
      </w:r>
      <w:r w:rsidR="007D3ACD" w:rsidRPr="00043766">
        <w:rPr>
          <w:rFonts w:ascii="Times New Roman" w:hAnsi="Times New Roman" w:cs="Times New Roman"/>
          <w:sz w:val="24"/>
          <w:szCs w:val="24"/>
        </w:rPr>
        <w:t xml:space="preserve"> y el desarrollo de una teoría del cambio </w:t>
      </w:r>
      <w:r w:rsidRPr="00043766">
        <w:rPr>
          <w:rFonts w:ascii="Times New Roman" w:hAnsi="Times New Roman" w:cs="Times New Roman"/>
          <w:sz w:val="24"/>
          <w:szCs w:val="24"/>
        </w:rPr>
        <w:t>representa</w:t>
      </w:r>
      <w:r w:rsidR="007D3ACD" w:rsidRPr="00043766">
        <w:rPr>
          <w:rFonts w:ascii="Times New Roman" w:hAnsi="Times New Roman" w:cs="Times New Roman"/>
          <w:sz w:val="24"/>
          <w:szCs w:val="24"/>
        </w:rPr>
        <w:t xml:space="preserve"> de alguna manera</w:t>
      </w:r>
      <w:r w:rsidRPr="00043766">
        <w:rPr>
          <w:rFonts w:ascii="Times New Roman" w:hAnsi="Times New Roman" w:cs="Times New Roman"/>
          <w:sz w:val="24"/>
          <w:szCs w:val="24"/>
        </w:rPr>
        <w:t xml:space="preserve"> una tarea pendiente para la ciencia política</w:t>
      </w:r>
      <w:r w:rsidR="007D3ACD" w:rsidRPr="00043766">
        <w:rPr>
          <w:rFonts w:ascii="Times New Roman" w:hAnsi="Times New Roman" w:cs="Times New Roman"/>
          <w:sz w:val="24"/>
          <w:szCs w:val="24"/>
        </w:rPr>
        <w:t>. S</w:t>
      </w:r>
      <w:r w:rsidRPr="00043766">
        <w:rPr>
          <w:rFonts w:ascii="Times New Roman" w:hAnsi="Times New Roman" w:cs="Times New Roman"/>
          <w:sz w:val="24"/>
          <w:szCs w:val="24"/>
        </w:rPr>
        <w:t>in embargo,</w:t>
      </w:r>
      <w:r w:rsidR="007D3ACD" w:rsidRPr="00043766">
        <w:rPr>
          <w:rFonts w:ascii="Times New Roman" w:hAnsi="Times New Roman" w:cs="Times New Roman"/>
          <w:sz w:val="24"/>
          <w:szCs w:val="24"/>
        </w:rPr>
        <w:t xml:space="preserve"> </w:t>
      </w:r>
      <w:r w:rsidR="00A25D0F">
        <w:rPr>
          <w:rFonts w:ascii="Times New Roman" w:hAnsi="Times New Roman" w:cs="Times New Roman"/>
          <w:sz w:val="24"/>
          <w:szCs w:val="24"/>
        </w:rPr>
        <w:t xml:space="preserve">sobre la materia </w:t>
      </w:r>
      <w:r w:rsidR="007D3ACD" w:rsidRPr="00043766">
        <w:rPr>
          <w:rFonts w:ascii="Times New Roman" w:hAnsi="Times New Roman" w:cs="Times New Roman"/>
          <w:sz w:val="24"/>
          <w:szCs w:val="24"/>
        </w:rPr>
        <w:t>existen acercamientos importantes dentro</w:t>
      </w:r>
      <w:r w:rsidRPr="00043766">
        <w:rPr>
          <w:rFonts w:ascii="Times New Roman" w:hAnsi="Times New Roman" w:cs="Times New Roman"/>
          <w:sz w:val="24"/>
          <w:szCs w:val="24"/>
        </w:rPr>
        <w:t xml:space="preserve"> del institucion</w:t>
      </w:r>
      <w:r w:rsidR="007D3ACD" w:rsidRPr="00043766">
        <w:rPr>
          <w:rFonts w:ascii="Times New Roman" w:hAnsi="Times New Roman" w:cs="Times New Roman"/>
          <w:sz w:val="24"/>
          <w:szCs w:val="24"/>
        </w:rPr>
        <w:t xml:space="preserve">alismo y </w:t>
      </w:r>
      <w:r w:rsidR="00A25D0F">
        <w:rPr>
          <w:rFonts w:ascii="Times New Roman" w:hAnsi="Times New Roman" w:cs="Times New Roman"/>
          <w:sz w:val="24"/>
          <w:szCs w:val="24"/>
        </w:rPr>
        <w:t>reflexiones interesantes</w:t>
      </w:r>
      <w:r w:rsidR="007D3ACD" w:rsidRPr="00043766">
        <w:rPr>
          <w:rFonts w:ascii="Times New Roman" w:hAnsi="Times New Roman" w:cs="Times New Roman"/>
          <w:sz w:val="24"/>
          <w:szCs w:val="24"/>
        </w:rPr>
        <w:t xml:space="preserve"> dentro de la literatura sobre </w:t>
      </w:r>
      <w:r w:rsidR="00EA7A3E" w:rsidRPr="00043766">
        <w:rPr>
          <w:rFonts w:ascii="Times New Roman" w:hAnsi="Times New Roman" w:cs="Times New Roman"/>
          <w:sz w:val="24"/>
          <w:szCs w:val="24"/>
        </w:rPr>
        <w:t>democratiza</w:t>
      </w:r>
      <w:r w:rsidR="00A25D0F">
        <w:rPr>
          <w:rFonts w:ascii="Times New Roman" w:hAnsi="Times New Roman" w:cs="Times New Roman"/>
          <w:sz w:val="24"/>
          <w:szCs w:val="24"/>
        </w:rPr>
        <w:t>ción</w:t>
      </w:r>
      <w:r w:rsidR="007D3ACD" w:rsidRPr="00043766">
        <w:rPr>
          <w:rFonts w:ascii="Times New Roman" w:hAnsi="Times New Roman" w:cs="Times New Roman"/>
          <w:sz w:val="24"/>
          <w:szCs w:val="24"/>
        </w:rPr>
        <w:t>.</w:t>
      </w:r>
      <w:r w:rsidR="00EA7A3E" w:rsidRPr="00043766">
        <w:rPr>
          <w:rFonts w:ascii="Times New Roman" w:hAnsi="Times New Roman" w:cs="Times New Roman"/>
          <w:sz w:val="24"/>
          <w:szCs w:val="24"/>
        </w:rPr>
        <w:t xml:space="preserve"> Para organizar la discusión, nos valdremos de las tres formas de considerar la dimensión temporal en los procesos de consolidación que proponen Schmitter y Santiso</w:t>
      </w:r>
      <w:r w:rsidR="00A25D0F">
        <w:rPr>
          <w:rFonts w:ascii="Times New Roman" w:hAnsi="Times New Roman" w:cs="Times New Roman"/>
          <w:sz w:val="24"/>
          <w:szCs w:val="24"/>
        </w:rPr>
        <w:t>,</w:t>
      </w:r>
      <w:r w:rsidR="00D600C6" w:rsidRPr="00043766">
        <w:rPr>
          <w:rFonts w:ascii="Times New Roman" w:hAnsi="Times New Roman" w:cs="Times New Roman"/>
          <w:sz w:val="24"/>
          <w:szCs w:val="24"/>
        </w:rPr>
        <w:t xml:space="preserve"> quienes advirtieron</w:t>
      </w:r>
      <w:r w:rsidR="0066601F" w:rsidRPr="00043766">
        <w:rPr>
          <w:rFonts w:ascii="Times New Roman" w:hAnsi="Times New Roman" w:cs="Times New Roman"/>
          <w:sz w:val="24"/>
          <w:szCs w:val="24"/>
        </w:rPr>
        <w:t xml:space="preserve"> </w:t>
      </w:r>
      <w:r w:rsidR="0073471F" w:rsidRPr="00043766">
        <w:rPr>
          <w:rFonts w:ascii="Times New Roman" w:hAnsi="Times New Roman" w:cs="Times New Roman"/>
          <w:sz w:val="24"/>
          <w:szCs w:val="24"/>
        </w:rPr>
        <w:t>sobre la necesidad de incorporar</w:t>
      </w:r>
      <w:r w:rsidR="00DD79C0">
        <w:rPr>
          <w:rFonts w:ascii="Times New Roman" w:hAnsi="Times New Roman" w:cs="Times New Roman"/>
          <w:sz w:val="24"/>
          <w:szCs w:val="24"/>
        </w:rPr>
        <w:t xml:space="preserve"> debidamente este aspecto </w:t>
      </w:r>
      <w:r w:rsidR="00256BB3" w:rsidRPr="00043766">
        <w:rPr>
          <w:rFonts w:ascii="Times New Roman" w:hAnsi="Times New Roman" w:cs="Times New Roman"/>
          <w:sz w:val="24"/>
          <w:szCs w:val="24"/>
        </w:rPr>
        <w:t xml:space="preserve">en los estudios sobre consolidación y calidad de la democracia (Schmitter y Santiso, 1998, Schmitter, 2003). </w:t>
      </w:r>
      <w:r w:rsidR="00A25D0F">
        <w:rPr>
          <w:rFonts w:ascii="Times New Roman" w:hAnsi="Times New Roman" w:cs="Times New Roman"/>
          <w:sz w:val="24"/>
          <w:szCs w:val="24"/>
        </w:rPr>
        <w:t>Según dichos autores, a</w:t>
      </w:r>
      <w:r w:rsidR="005F7D6C" w:rsidRPr="00043766">
        <w:rPr>
          <w:rFonts w:ascii="Times New Roman" w:hAnsi="Times New Roman" w:cs="Times New Roman"/>
          <w:sz w:val="24"/>
          <w:szCs w:val="24"/>
        </w:rPr>
        <w:t>lgunos de los problemas de</w:t>
      </w:r>
      <w:r w:rsidR="00A25D0F">
        <w:rPr>
          <w:rFonts w:ascii="Times New Roman" w:hAnsi="Times New Roman" w:cs="Times New Roman"/>
          <w:sz w:val="24"/>
          <w:szCs w:val="24"/>
        </w:rPr>
        <w:t xml:space="preserve">rivados de esta carencia </w:t>
      </w:r>
      <w:r w:rsidR="005F7D6C" w:rsidRPr="00043766">
        <w:rPr>
          <w:rFonts w:ascii="Times New Roman" w:hAnsi="Times New Roman" w:cs="Times New Roman"/>
          <w:sz w:val="24"/>
          <w:szCs w:val="24"/>
        </w:rPr>
        <w:t>son que al hablar de consolidación de la democracia no se tiene un</w:t>
      </w:r>
      <w:r w:rsidR="00256BB3" w:rsidRPr="00043766">
        <w:rPr>
          <w:rFonts w:ascii="Times New Roman" w:hAnsi="Times New Roman" w:cs="Times New Roman"/>
          <w:sz w:val="24"/>
          <w:szCs w:val="24"/>
        </w:rPr>
        <w:t xml:space="preserve"> conocimiento</w:t>
      </w:r>
      <w:r w:rsidR="005F7D6C" w:rsidRPr="00043766">
        <w:rPr>
          <w:rFonts w:ascii="Times New Roman" w:hAnsi="Times New Roman" w:cs="Times New Roman"/>
          <w:sz w:val="24"/>
          <w:szCs w:val="24"/>
        </w:rPr>
        <w:t xml:space="preserve"> relativamente claro sobre la secuencia</w:t>
      </w:r>
      <w:r w:rsidR="00256BB3" w:rsidRPr="00043766">
        <w:rPr>
          <w:rFonts w:ascii="Times New Roman" w:hAnsi="Times New Roman" w:cs="Times New Roman"/>
          <w:sz w:val="24"/>
          <w:szCs w:val="24"/>
        </w:rPr>
        <w:t xml:space="preserve"> ideal para la realización de refor</w:t>
      </w:r>
      <w:r w:rsidR="005F7D6C" w:rsidRPr="00043766">
        <w:rPr>
          <w:rFonts w:ascii="Times New Roman" w:hAnsi="Times New Roman" w:cs="Times New Roman"/>
          <w:sz w:val="24"/>
          <w:szCs w:val="24"/>
        </w:rPr>
        <w:t>mas (Schmit</w:t>
      </w:r>
      <w:r w:rsidR="00A25D0F">
        <w:rPr>
          <w:rFonts w:ascii="Times New Roman" w:hAnsi="Times New Roman" w:cs="Times New Roman"/>
          <w:sz w:val="24"/>
          <w:szCs w:val="24"/>
        </w:rPr>
        <w:t xml:space="preserve">ter y Santiso, 1998); </w:t>
      </w:r>
      <w:r w:rsidR="005F7D6C" w:rsidRPr="00043766">
        <w:rPr>
          <w:rFonts w:ascii="Times New Roman" w:hAnsi="Times New Roman" w:cs="Times New Roman"/>
          <w:sz w:val="24"/>
          <w:szCs w:val="24"/>
        </w:rPr>
        <w:t>se carece de una suerte de plan de vuelo para que los actores políticos involucrados sepan qué reformas se deben priorizar y cuáles d</w:t>
      </w:r>
      <w:r w:rsidR="00F52E09" w:rsidRPr="00043766">
        <w:rPr>
          <w:rFonts w:ascii="Times New Roman" w:hAnsi="Times New Roman" w:cs="Times New Roman"/>
          <w:sz w:val="24"/>
          <w:szCs w:val="24"/>
        </w:rPr>
        <w:t xml:space="preserve">ejar para después, </w:t>
      </w:r>
      <w:r w:rsidR="005F7D6C" w:rsidRPr="00043766">
        <w:rPr>
          <w:rFonts w:ascii="Times New Roman" w:hAnsi="Times New Roman" w:cs="Times New Roman"/>
          <w:sz w:val="24"/>
          <w:szCs w:val="24"/>
        </w:rPr>
        <w:t>lo cual no contribuye al éxito de los procesos de democratización</w:t>
      </w:r>
      <w:r w:rsidR="00D600C6" w:rsidRPr="00043766">
        <w:rPr>
          <w:rFonts w:ascii="Times New Roman" w:hAnsi="Times New Roman" w:cs="Times New Roman"/>
          <w:sz w:val="24"/>
          <w:szCs w:val="24"/>
        </w:rPr>
        <w:t>,</w:t>
      </w:r>
      <w:r w:rsidR="005F7D6C" w:rsidRPr="00043766">
        <w:rPr>
          <w:rFonts w:ascii="Times New Roman" w:hAnsi="Times New Roman" w:cs="Times New Roman"/>
          <w:sz w:val="24"/>
          <w:szCs w:val="24"/>
        </w:rPr>
        <w:t xml:space="preserve"> debido a que éstos dependen no sólo de qué decisiones se toman sino cuándo y cómo se manipula el tiempo (Schmitter y Santiso, 1998</w:t>
      </w:r>
      <w:r w:rsidR="0098546D" w:rsidRPr="00043766">
        <w:rPr>
          <w:rFonts w:ascii="Times New Roman" w:hAnsi="Times New Roman" w:cs="Times New Roman"/>
          <w:sz w:val="24"/>
          <w:szCs w:val="24"/>
        </w:rPr>
        <w:t>, p. 71</w:t>
      </w:r>
      <w:r w:rsidR="005F7D6C" w:rsidRPr="00043766">
        <w:rPr>
          <w:rFonts w:ascii="Times New Roman" w:hAnsi="Times New Roman" w:cs="Times New Roman"/>
          <w:sz w:val="24"/>
          <w:szCs w:val="24"/>
        </w:rPr>
        <w:t>).</w:t>
      </w:r>
      <w:r w:rsidR="0073471F" w:rsidRPr="00043766">
        <w:rPr>
          <w:rFonts w:ascii="Times New Roman" w:hAnsi="Times New Roman" w:cs="Times New Roman"/>
          <w:sz w:val="24"/>
          <w:szCs w:val="24"/>
        </w:rPr>
        <w:t xml:space="preserve"> </w:t>
      </w:r>
      <w:r w:rsidR="004169D5" w:rsidRPr="00043766">
        <w:rPr>
          <w:rFonts w:ascii="Times New Roman" w:hAnsi="Times New Roman" w:cs="Times New Roman"/>
          <w:sz w:val="24"/>
          <w:szCs w:val="24"/>
        </w:rPr>
        <w:t>De esta forma, Schmitter y Santiso (1998) proponen considerar el tiempo de tres maneras distintas: el tiempo,</w:t>
      </w:r>
      <w:r w:rsidR="002A101B" w:rsidRPr="00043766">
        <w:rPr>
          <w:rFonts w:ascii="Times New Roman" w:hAnsi="Times New Roman" w:cs="Times New Roman"/>
          <w:sz w:val="24"/>
          <w:szCs w:val="24"/>
        </w:rPr>
        <w:t xml:space="preserve"> es decir el momento en que se realizan los cambios,</w:t>
      </w:r>
      <w:r w:rsidR="004169D5" w:rsidRPr="00043766">
        <w:rPr>
          <w:rFonts w:ascii="Times New Roman" w:hAnsi="Times New Roman" w:cs="Times New Roman"/>
          <w:sz w:val="24"/>
          <w:szCs w:val="24"/>
        </w:rPr>
        <w:t xml:space="preserve"> el </w:t>
      </w:r>
      <w:r w:rsidR="004169D5" w:rsidRPr="00043766">
        <w:rPr>
          <w:rFonts w:ascii="Times New Roman" w:hAnsi="Times New Roman" w:cs="Times New Roman"/>
          <w:i/>
          <w:sz w:val="24"/>
          <w:szCs w:val="24"/>
        </w:rPr>
        <w:t>timing</w:t>
      </w:r>
      <w:r w:rsidR="002A101B" w:rsidRPr="00043766">
        <w:rPr>
          <w:rFonts w:ascii="Times New Roman" w:hAnsi="Times New Roman" w:cs="Times New Roman"/>
          <w:sz w:val="24"/>
          <w:szCs w:val="24"/>
        </w:rPr>
        <w:t xml:space="preserve"> o secuencia de los mismos,</w:t>
      </w:r>
      <w:r w:rsidR="002A101B" w:rsidRPr="00043766">
        <w:rPr>
          <w:rFonts w:ascii="Times New Roman" w:hAnsi="Times New Roman" w:cs="Times New Roman"/>
          <w:i/>
          <w:sz w:val="24"/>
          <w:szCs w:val="24"/>
        </w:rPr>
        <w:t xml:space="preserve"> </w:t>
      </w:r>
      <w:r w:rsidR="004169D5" w:rsidRPr="00043766">
        <w:rPr>
          <w:rFonts w:ascii="Times New Roman" w:hAnsi="Times New Roman" w:cs="Times New Roman"/>
          <w:sz w:val="24"/>
          <w:szCs w:val="24"/>
        </w:rPr>
        <w:t xml:space="preserve"> y el </w:t>
      </w:r>
      <w:r w:rsidR="004169D5" w:rsidRPr="00043766">
        <w:rPr>
          <w:rFonts w:ascii="Times New Roman" w:hAnsi="Times New Roman" w:cs="Times New Roman"/>
          <w:i/>
          <w:sz w:val="24"/>
          <w:szCs w:val="24"/>
        </w:rPr>
        <w:t>tempo</w:t>
      </w:r>
      <w:r w:rsidR="002A101B" w:rsidRPr="00043766">
        <w:rPr>
          <w:rFonts w:ascii="Times New Roman" w:hAnsi="Times New Roman" w:cs="Times New Roman"/>
          <w:sz w:val="24"/>
          <w:szCs w:val="24"/>
        </w:rPr>
        <w:t>, o la duración del proceso de consolidación de los patrones de interacción introducidos por la transición</w:t>
      </w:r>
      <w:r w:rsidR="004169D5" w:rsidRPr="00043766">
        <w:rPr>
          <w:rFonts w:ascii="Times New Roman" w:hAnsi="Times New Roman" w:cs="Times New Roman"/>
          <w:sz w:val="24"/>
          <w:szCs w:val="24"/>
        </w:rPr>
        <w:t>.</w:t>
      </w:r>
      <w:r w:rsidR="00F14C97">
        <w:rPr>
          <w:rFonts w:ascii="Times New Roman" w:hAnsi="Times New Roman" w:cs="Times New Roman"/>
          <w:sz w:val="24"/>
          <w:szCs w:val="24"/>
        </w:rPr>
        <w:t xml:space="preserve"> En este estudio nos interesan particularmente las dos primeras formas: el tiempo y la secuencia.</w:t>
      </w:r>
      <w:r w:rsidR="004169D5" w:rsidRPr="00043766">
        <w:rPr>
          <w:rFonts w:ascii="Times New Roman" w:hAnsi="Times New Roman" w:cs="Times New Roman"/>
          <w:sz w:val="24"/>
          <w:szCs w:val="24"/>
        </w:rPr>
        <w:t xml:space="preserve"> </w:t>
      </w:r>
    </w:p>
    <w:p w14:paraId="0679891B" w14:textId="77777777" w:rsidR="00BD34D3" w:rsidRPr="00043766" w:rsidRDefault="00013A8E"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4169D5" w:rsidRPr="00043766">
        <w:rPr>
          <w:rFonts w:ascii="Times New Roman" w:hAnsi="Times New Roman" w:cs="Times New Roman"/>
          <w:sz w:val="24"/>
          <w:szCs w:val="24"/>
        </w:rPr>
        <w:t xml:space="preserve">l </w:t>
      </w:r>
      <w:r>
        <w:rPr>
          <w:rFonts w:ascii="Times New Roman" w:hAnsi="Times New Roman" w:cs="Times New Roman"/>
          <w:sz w:val="24"/>
          <w:szCs w:val="24"/>
        </w:rPr>
        <w:t>“</w:t>
      </w:r>
      <w:r w:rsidR="004169D5" w:rsidRPr="00043766">
        <w:rPr>
          <w:rFonts w:ascii="Times New Roman" w:hAnsi="Times New Roman" w:cs="Times New Roman"/>
          <w:sz w:val="24"/>
          <w:szCs w:val="24"/>
        </w:rPr>
        <w:t>tiempo</w:t>
      </w:r>
      <w:r>
        <w:rPr>
          <w:rFonts w:ascii="Times New Roman" w:hAnsi="Times New Roman" w:cs="Times New Roman"/>
          <w:sz w:val="24"/>
          <w:szCs w:val="24"/>
        </w:rPr>
        <w:t>”</w:t>
      </w:r>
      <w:r w:rsidR="004169D5" w:rsidRPr="00043766">
        <w:rPr>
          <w:rFonts w:ascii="Times New Roman" w:hAnsi="Times New Roman" w:cs="Times New Roman"/>
          <w:sz w:val="24"/>
          <w:szCs w:val="24"/>
        </w:rPr>
        <w:t xml:space="preserve"> se refiere al momento en que se realizan los cambios, es el “cuándo</w:t>
      </w:r>
      <w:r w:rsidR="0098546D" w:rsidRPr="00043766">
        <w:rPr>
          <w:rFonts w:ascii="Times New Roman" w:hAnsi="Times New Roman" w:cs="Times New Roman"/>
          <w:sz w:val="24"/>
          <w:szCs w:val="24"/>
        </w:rPr>
        <w:t>.</w:t>
      </w:r>
      <w:r w:rsidR="004169D5" w:rsidRPr="00043766">
        <w:rPr>
          <w:rFonts w:ascii="Times New Roman" w:hAnsi="Times New Roman" w:cs="Times New Roman"/>
          <w:sz w:val="24"/>
          <w:szCs w:val="24"/>
        </w:rPr>
        <w:t>”</w:t>
      </w:r>
      <w:r w:rsidR="0098546D" w:rsidRPr="00043766">
        <w:rPr>
          <w:rFonts w:ascii="Times New Roman" w:hAnsi="Times New Roman" w:cs="Times New Roman"/>
          <w:sz w:val="24"/>
          <w:szCs w:val="24"/>
        </w:rPr>
        <w:t xml:space="preserve"> Omitir este elemento en los estudios sobre calidad de la democracia ha llevado, según Schmitter (2003), al anacronismo, pues se le exige a las neo democracias lo que a las clásicas llevó cien años construir. </w:t>
      </w:r>
      <w:r w:rsidR="005B549A" w:rsidRPr="00043766">
        <w:rPr>
          <w:rFonts w:ascii="Times New Roman" w:hAnsi="Times New Roman" w:cs="Times New Roman"/>
          <w:sz w:val="24"/>
          <w:szCs w:val="24"/>
        </w:rPr>
        <w:t>E</w:t>
      </w:r>
      <w:r w:rsidR="0098546D" w:rsidRPr="00043766">
        <w:rPr>
          <w:rFonts w:ascii="Times New Roman" w:hAnsi="Times New Roman" w:cs="Times New Roman"/>
          <w:sz w:val="24"/>
          <w:szCs w:val="24"/>
        </w:rPr>
        <w:t xml:space="preserve">l </w:t>
      </w:r>
      <w:r>
        <w:rPr>
          <w:rFonts w:ascii="Times New Roman" w:hAnsi="Times New Roman" w:cs="Times New Roman"/>
          <w:sz w:val="24"/>
          <w:szCs w:val="24"/>
        </w:rPr>
        <w:t>“</w:t>
      </w:r>
      <w:r w:rsidR="0098546D" w:rsidRPr="00043766">
        <w:rPr>
          <w:rFonts w:ascii="Times New Roman" w:hAnsi="Times New Roman" w:cs="Times New Roman"/>
          <w:sz w:val="24"/>
          <w:szCs w:val="24"/>
        </w:rPr>
        <w:t>cuándo</w:t>
      </w:r>
      <w:r w:rsidR="005B549A" w:rsidRPr="00043766">
        <w:rPr>
          <w:rFonts w:ascii="Times New Roman" w:hAnsi="Times New Roman" w:cs="Times New Roman"/>
          <w:sz w:val="24"/>
          <w:szCs w:val="24"/>
        </w:rPr>
        <w:t>”</w:t>
      </w:r>
      <w:r w:rsidR="0098546D" w:rsidRPr="00043766">
        <w:rPr>
          <w:rFonts w:ascii="Times New Roman" w:hAnsi="Times New Roman" w:cs="Times New Roman"/>
          <w:sz w:val="24"/>
          <w:szCs w:val="24"/>
        </w:rPr>
        <w:t>,</w:t>
      </w:r>
      <w:r w:rsidR="005B549A" w:rsidRPr="00043766">
        <w:rPr>
          <w:rFonts w:ascii="Times New Roman" w:hAnsi="Times New Roman" w:cs="Times New Roman"/>
          <w:sz w:val="24"/>
          <w:szCs w:val="24"/>
        </w:rPr>
        <w:t xml:space="preserve"> como aspecto clave del éxito,</w:t>
      </w:r>
      <w:r w:rsidR="0098546D" w:rsidRPr="00043766">
        <w:rPr>
          <w:rFonts w:ascii="Times New Roman" w:hAnsi="Times New Roman" w:cs="Times New Roman"/>
          <w:sz w:val="24"/>
          <w:szCs w:val="24"/>
        </w:rPr>
        <w:t xml:space="preserve"> tiene diferencias importantes entre las </w:t>
      </w:r>
      <w:r w:rsidR="005B549A" w:rsidRPr="00043766">
        <w:rPr>
          <w:rFonts w:ascii="Times New Roman" w:hAnsi="Times New Roman" w:cs="Times New Roman"/>
          <w:sz w:val="24"/>
          <w:szCs w:val="24"/>
        </w:rPr>
        <w:t>distintas olas democratizadoras</w:t>
      </w:r>
      <w:r w:rsidR="0098546D" w:rsidRPr="00043766">
        <w:rPr>
          <w:rFonts w:ascii="Times New Roman" w:hAnsi="Times New Roman" w:cs="Times New Roman"/>
          <w:sz w:val="24"/>
          <w:szCs w:val="24"/>
        </w:rPr>
        <w:t>. Por ejemplo, en comparación con las democracias clásicas, los democratizadores de la cuarta ola son distintos</w:t>
      </w:r>
      <w:r>
        <w:rPr>
          <w:rFonts w:ascii="Times New Roman" w:hAnsi="Times New Roman" w:cs="Times New Roman"/>
          <w:sz w:val="24"/>
          <w:szCs w:val="24"/>
        </w:rPr>
        <w:t xml:space="preserve"> en relación con esta variable</w:t>
      </w:r>
      <w:r w:rsidR="0098546D" w:rsidRPr="00043766">
        <w:rPr>
          <w:rFonts w:ascii="Times New Roman" w:hAnsi="Times New Roman" w:cs="Times New Roman"/>
          <w:sz w:val="24"/>
          <w:szCs w:val="24"/>
        </w:rPr>
        <w:t xml:space="preserve">: </w:t>
      </w:r>
      <w:r w:rsidR="005B549A" w:rsidRPr="00043766">
        <w:rPr>
          <w:rFonts w:ascii="Times New Roman" w:hAnsi="Times New Roman" w:cs="Times New Roman"/>
          <w:sz w:val="24"/>
          <w:szCs w:val="24"/>
        </w:rPr>
        <w:t xml:space="preserve">tienen </w:t>
      </w:r>
      <w:r w:rsidR="0098546D" w:rsidRPr="00043766">
        <w:rPr>
          <w:rFonts w:ascii="Times New Roman" w:hAnsi="Times New Roman" w:cs="Times New Roman"/>
          <w:sz w:val="24"/>
          <w:szCs w:val="24"/>
        </w:rPr>
        <w:t>menos tiempo para la elección y</w:t>
      </w:r>
      <w:r w:rsidR="005B549A" w:rsidRPr="00043766">
        <w:rPr>
          <w:rFonts w:ascii="Times New Roman" w:hAnsi="Times New Roman" w:cs="Times New Roman"/>
          <w:sz w:val="24"/>
          <w:szCs w:val="24"/>
        </w:rPr>
        <w:t xml:space="preserve"> la realización de reformas</w:t>
      </w:r>
      <w:r w:rsidR="0098546D" w:rsidRPr="00043766">
        <w:rPr>
          <w:rFonts w:ascii="Times New Roman" w:hAnsi="Times New Roman" w:cs="Times New Roman"/>
          <w:sz w:val="24"/>
          <w:szCs w:val="24"/>
        </w:rPr>
        <w:t xml:space="preserve"> por la gran cantidad de demandas, los ciudadanos están mejor organizados y son más demandantes, la mayoría de los políticos son profesionales y defienden las reglas que les permitieron llegar al poder</w:t>
      </w:r>
      <w:r w:rsidR="00293637" w:rsidRPr="00043766">
        <w:rPr>
          <w:rFonts w:ascii="Times New Roman" w:hAnsi="Times New Roman" w:cs="Times New Roman"/>
          <w:sz w:val="24"/>
          <w:szCs w:val="24"/>
        </w:rPr>
        <w:t>, hay mayor diversidad de clivajes sociales y al mismo tiempo menos oportunidad para la experimentación institucional debido al contexto internacional (p. 75)</w:t>
      </w:r>
      <w:r w:rsidR="0098546D" w:rsidRPr="00043766">
        <w:rPr>
          <w:rFonts w:ascii="Times New Roman" w:hAnsi="Times New Roman" w:cs="Times New Roman"/>
          <w:sz w:val="24"/>
          <w:szCs w:val="24"/>
        </w:rPr>
        <w:t>. Las ventajas</w:t>
      </w:r>
      <w:r>
        <w:rPr>
          <w:rFonts w:ascii="Times New Roman" w:hAnsi="Times New Roman" w:cs="Times New Roman"/>
          <w:sz w:val="24"/>
          <w:szCs w:val="24"/>
        </w:rPr>
        <w:t xml:space="preserve"> </w:t>
      </w:r>
      <w:r>
        <w:rPr>
          <w:rFonts w:ascii="Times New Roman" w:hAnsi="Times New Roman" w:cs="Times New Roman"/>
          <w:sz w:val="24"/>
          <w:szCs w:val="24"/>
        </w:rPr>
        <w:lastRenderedPageBreak/>
        <w:t>para estas últimas</w:t>
      </w:r>
      <w:r w:rsidR="0098546D" w:rsidRPr="00043766">
        <w:rPr>
          <w:rFonts w:ascii="Times New Roman" w:hAnsi="Times New Roman" w:cs="Times New Roman"/>
          <w:sz w:val="24"/>
          <w:szCs w:val="24"/>
        </w:rPr>
        <w:t xml:space="preserve"> “olas” democratizadoras son que pueden aprender de los errores anteriores y que existen mayores canales informales </w:t>
      </w:r>
      <w:r>
        <w:rPr>
          <w:rFonts w:ascii="Times New Roman" w:hAnsi="Times New Roman" w:cs="Times New Roman"/>
          <w:sz w:val="24"/>
          <w:szCs w:val="24"/>
        </w:rPr>
        <w:t>para la promoción de derechos</w:t>
      </w:r>
      <w:r w:rsidR="00293637" w:rsidRPr="00043766">
        <w:rPr>
          <w:rFonts w:ascii="Times New Roman" w:hAnsi="Times New Roman" w:cs="Times New Roman"/>
          <w:sz w:val="24"/>
          <w:szCs w:val="24"/>
        </w:rPr>
        <w:t xml:space="preserve"> (p.76)</w:t>
      </w:r>
      <w:r w:rsidR="0098546D" w:rsidRPr="00043766">
        <w:rPr>
          <w:rFonts w:ascii="Times New Roman" w:hAnsi="Times New Roman" w:cs="Times New Roman"/>
          <w:sz w:val="24"/>
          <w:szCs w:val="24"/>
        </w:rPr>
        <w:t xml:space="preserve">. </w:t>
      </w:r>
    </w:p>
    <w:p w14:paraId="7F8D95AA" w14:textId="77777777" w:rsidR="00586338" w:rsidRPr="00043766" w:rsidRDefault="00D600C6" w:rsidP="00FA33BE">
      <w:pPr>
        <w:spacing w:line="240" w:lineRule="auto"/>
        <w:jc w:val="both"/>
        <w:rPr>
          <w:rFonts w:ascii="Times New Roman" w:hAnsi="Times New Roman" w:cs="Times New Roman"/>
          <w:sz w:val="24"/>
          <w:szCs w:val="24"/>
        </w:rPr>
      </w:pPr>
      <w:r w:rsidRPr="00043766">
        <w:rPr>
          <w:rFonts w:ascii="Times New Roman" w:hAnsi="Times New Roman" w:cs="Times New Roman"/>
          <w:sz w:val="24"/>
          <w:szCs w:val="24"/>
        </w:rPr>
        <w:t>El cuándo</w:t>
      </w:r>
      <w:r w:rsidR="00340B1C" w:rsidRPr="00043766">
        <w:rPr>
          <w:rFonts w:ascii="Times New Roman" w:hAnsi="Times New Roman" w:cs="Times New Roman"/>
          <w:sz w:val="24"/>
          <w:szCs w:val="24"/>
        </w:rPr>
        <w:t>, entonces, implica considerar e</w:t>
      </w:r>
      <w:r w:rsidR="00257367" w:rsidRPr="00043766">
        <w:rPr>
          <w:rFonts w:ascii="Times New Roman" w:hAnsi="Times New Roman" w:cs="Times New Roman"/>
          <w:sz w:val="24"/>
          <w:szCs w:val="24"/>
        </w:rPr>
        <w:t>l contexto del</w:t>
      </w:r>
      <w:r w:rsidR="00F67EC0" w:rsidRPr="00043766">
        <w:rPr>
          <w:rFonts w:ascii="Times New Roman" w:hAnsi="Times New Roman" w:cs="Times New Roman"/>
          <w:sz w:val="24"/>
          <w:szCs w:val="24"/>
        </w:rPr>
        <w:t xml:space="preserve"> surgimiento, del </w:t>
      </w:r>
      <w:r w:rsidR="00340B1C" w:rsidRPr="00043766">
        <w:rPr>
          <w:rFonts w:ascii="Times New Roman" w:hAnsi="Times New Roman" w:cs="Times New Roman"/>
          <w:sz w:val="24"/>
          <w:szCs w:val="24"/>
        </w:rPr>
        <w:t>cambio</w:t>
      </w:r>
      <w:r w:rsidR="00F67EC0" w:rsidRPr="00043766">
        <w:rPr>
          <w:rFonts w:ascii="Times New Roman" w:hAnsi="Times New Roman" w:cs="Times New Roman"/>
          <w:sz w:val="24"/>
          <w:szCs w:val="24"/>
        </w:rPr>
        <w:t xml:space="preserve"> y del desempeño</w:t>
      </w:r>
      <w:r w:rsidR="00340B1C" w:rsidRPr="00043766">
        <w:rPr>
          <w:rFonts w:ascii="Times New Roman" w:hAnsi="Times New Roman" w:cs="Times New Roman"/>
          <w:sz w:val="24"/>
          <w:szCs w:val="24"/>
        </w:rPr>
        <w:t xml:space="preserve"> institucional. Algunas v</w:t>
      </w:r>
      <w:r w:rsidR="00F67EC0" w:rsidRPr="00043766">
        <w:rPr>
          <w:rFonts w:ascii="Times New Roman" w:hAnsi="Times New Roman" w:cs="Times New Roman"/>
          <w:sz w:val="24"/>
          <w:szCs w:val="24"/>
        </w:rPr>
        <w:t>ertientes del institucionalismo, particularmente el histórico pero también el racional, han contribuido al análisis del contexto en relación con la institución. Para los institucionalistas históricos, el contexto</w:t>
      </w:r>
      <w:r w:rsidR="00C2652E" w:rsidRPr="00043766">
        <w:rPr>
          <w:rFonts w:ascii="Times New Roman" w:hAnsi="Times New Roman" w:cs="Times New Roman"/>
          <w:sz w:val="24"/>
          <w:szCs w:val="24"/>
        </w:rPr>
        <w:t xml:space="preserve"> histórico y político amplio</w:t>
      </w:r>
      <w:r w:rsidR="00F67EC0" w:rsidRPr="00043766">
        <w:rPr>
          <w:rFonts w:ascii="Times New Roman" w:hAnsi="Times New Roman" w:cs="Times New Roman"/>
          <w:sz w:val="24"/>
          <w:szCs w:val="24"/>
        </w:rPr>
        <w:t xml:space="preserve"> juega un papel analítico en varios sentidos: incide en el impacto efectivo de una institución (Thelen, 2002), define las condiciones del análisis</w:t>
      </w:r>
      <w:r w:rsidR="00C2652E" w:rsidRPr="00043766">
        <w:rPr>
          <w:rFonts w:ascii="Times New Roman" w:hAnsi="Times New Roman" w:cs="Times New Roman"/>
          <w:sz w:val="24"/>
          <w:szCs w:val="24"/>
        </w:rPr>
        <w:t xml:space="preserve">, proporcionando datos sobre hechos empíricos </w:t>
      </w:r>
      <w:r w:rsidR="00977AF5" w:rsidRPr="00043766">
        <w:rPr>
          <w:rFonts w:ascii="Times New Roman" w:hAnsi="Times New Roman" w:cs="Times New Roman"/>
          <w:sz w:val="24"/>
          <w:szCs w:val="24"/>
        </w:rPr>
        <w:t xml:space="preserve">observables </w:t>
      </w:r>
      <w:r w:rsidR="00C2652E" w:rsidRPr="00043766">
        <w:rPr>
          <w:rFonts w:ascii="Times New Roman" w:hAnsi="Times New Roman" w:cs="Times New Roman"/>
          <w:sz w:val="24"/>
          <w:szCs w:val="24"/>
        </w:rPr>
        <w:t>que se convierten en materia y pr</w:t>
      </w:r>
      <w:r w:rsidR="00977AF5" w:rsidRPr="00043766">
        <w:rPr>
          <w:rFonts w:ascii="Times New Roman" w:hAnsi="Times New Roman" w:cs="Times New Roman"/>
          <w:sz w:val="24"/>
          <w:szCs w:val="24"/>
        </w:rPr>
        <w:t>oblemas de investigación, y es de hecho una de las</w:t>
      </w:r>
      <w:r w:rsidR="00C2652E" w:rsidRPr="00043766">
        <w:rPr>
          <w:rFonts w:ascii="Times New Roman" w:hAnsi="Times New Roman" w:cs="Times New Roman"/>
          <w:sz w:val="24"/>
          <w:szCs w:val="24"/>
        </w:rPr>
        <w:t xml:space="preserve"> fuente</w:t>
      </w:r>
      <w:r w:rsidR="00977AF5" w:rsidRPr="00043766">
        <w:rPr>
          <w:rFonts w:ascii="Times New Roman" w:hAnsi="Times New Roman" w:cs="Times New Roman"/>
          <w:sz w:val="24"/>
          <w:szCs w:val="24"/>
        </w:rPr>
        <w:t xml:space="preserve">s principales de </w:t>
      </w:r>
      <w:r w:rsidR="005F37F4">
        <w:rPr>
          <w:rFonts w:ascii="Times New Roman" w:hAnsi="Times New Roman" w:cs="Times New Roman"/>
          <w:sz w:val="24"/>
          <w:szCs w:val="24"/>
        </w:rPr>
        <w:t>la explicación (Thelen, 2002</w:t>
      </w:r>
      <w:r w:rsidR="00C2652E" w:rsidRPr="00043766">
        <w:rPr>
          <w:rFonts w:ascii="Times New Roman" w:hAnsi="Times New Roman" w:cs="Times New Roman"/>
          <w:sz w:val="24"/>
          <w:szCs w:val="24"/>
        </w:rPr>
        <w:t>); además, estudia configuraciones organizacionales amplias y coyunturas buscando ver el escenario completo (Pierson y Skocpol, 2008).</w:t>
      </w:r>
      <w:r w:rsidR="008C2F10" w:rsidRPr="00043766">
        <w:rPr>
          <w:rFonts w:ascii="Times New Roman" w:hAnsi="Times New Roman" w:cs="Times New Roman"/>
          <w:sz w:val="24"/>
          <w:szCs w:val="24"/>
        </w:rPr>
        <w:t xml:space="preserve"> El institucionalismo racional también tiene una propuesta donde el contexto de la institución es relevante. El </w:t>
      </w:r>
      <w:r w:rsidR="00F67EC0" w:rsidRPr="00043766">
        <w:rPr>
          <w:rFonts w:ascii="Times New Roman" w:hAnsi="Times New Roman" w:cs="Times New Roman"/>
          <w:sz w:val="24"/>
          <w:szCs w:val="24"/>
        </w:rPr>
        <w:t xml:space="preserve"> </w:t>
      </w:r>
      <w:r w:rsidR="008C2F10" w:rsidRPr="00043766">
        <w:rPr>
          <w:rFonts w:ascii="Times New Roman" w:hAnsi="Times New Roman" w:cs="Times New Roman"/>
          <w:sz w:val="24"/>
          <w:szCs w:val="24"/>
        </w:rPr>
        <w:t>enfoque  configuracional de Ostrom (1986) supone analizar a las instituciones en relación con otras, pues asume que éstas no funcionan de manera aislada sino en niveles múltiples</w:t>
      </w:r>
      <w:r w:rsidR="00013A8E">
        <w:rPr>
          <w:rFonts w:ascii="Times New Roman" w:hAnsi="Times New Roman" w:cs="Times New Roman"/>
          <w:sz w:val="24"/>
          <w:szCs w:val="24"/>
        </w:rPr>
        <w:t>, que se interrelacionan</w:t>
      </w:r>
      <w:r w:rsidR="008C2F10" w:rsidRPr="00043766">
        <w:rPr>
          <w:rFonts w:ascii="Times New Roman" w:hAnsi="Times New Roman" w:cs="Times New Roman"/>
          <w:sz w:val="24"/>
          <w:szCs w:val="24"/>
        </w:rPr>
        <w:t xml:space="preserve"> no</w:t>
      </w:r>
      <w:r w:rsidR="00013A8E">
        <w:rPr>
          <w:rFonts w:ascii="Times New Roman" w:hAnsi="Times New Roman" w:cs="Times New Roman"/>
          <w:sz w:val="24"/>
          <w:szCs w:val="24"/>
        </w:rPr>
        <w:t xml:space="preserve"> siempre de manera armónica pues</w:t>
      </w:r>
      <w:r w:rsidR="008C2F10" w:rsidRPr="00043766">
        <w:rPr>
          <w:rFonts w:ascii="Times New Roman" w:hAnsi="Times New Roman" w:cs="Times New Roman"/>
          <w:sz w:val="24"/>
          <w:szCs w:val="24"/>
        </w:rPr>
        <w:t xml:space="preserve"> pueden ser contradictorias, generando cursos de acción contrarios y conflictos que deben ser negociados y donde interviene una diversa capacidad vinculante de las instituciones. </w:t>
      </w:r>
      <w:r w:rsidR="00586338" w:rsidRPr="00043766">
        <w:rPr>
          <w:rFonts w:ascii="Times New Roman" w:hAnsi="Times New Roman" w:cs="Times New Roman"/>
          <w:sz w:val="24"/>
          <w:szCs w:val="24"/>
        </w:rPr>
        <w:t xml:space="preserve">Los estudios dentro de la línea de las </w:t>
      </w:r>
      <w:r w:rsidR="00586338" w:rsidRPr="00043766">
        <w:rPr>
          <w:rFonts w:ascii="Times New Roman" w:hAnsi="Times New Roman" w:cs="Times New Roman"/>
          <w:i/>
          <w:sz w:val="24"/>
          <w:szCs w:val="24"/>
        </w:rPr>
        <w:t>narrativas analíticas</w:t>
      </w:r>
      <w:r w:rsidR="00586338" w:rsidRPr="00043766">
        <w:rPr>
          <w:rFonts w:ascii="Times New Roman" w:hAnsi="Times New Roman" w:cs="Times New Roman"/>
          <w:sz w:val="24"/>
          <w:szCs w:val="24"/>
        </w:rPr>
        <w:t xml:space="preserve">, por su lado, consideran el contexto para establecer premisas sobre las preferencias de los actores, para elaborar preguntas y problemas de manera no únicamente deductiva sino también partiendo de la complejidad y particularidad del caso en estudio (Bates, Greif, Levi, </w:t>
      </w:r>
      <w:r w:rsidR="00977AF5" w:rsidRPr="00043766">
        <w:rPr>
          <w:rFonts w:ascii="Times New Roman" w:hAnsi="Times New Roman" w:cs="Times New Roman"/>
          <w:sz w:val="24"/>
          <w:szCs w:val="24"/>
        </w:rPr>
        <w:t>1998, Thelen, 1999).</w:t>
      </w:r>
    </w:p>
    <w:p w14:paraId="75B3982F" w14:textId="77777777" w:rsidR="00885628" w:rsidRPr="00043766" w:rsidRDefault="0004376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Conviene hacer una última consideración acerca de estas tres dimensiones temporales que distinguen Schmitter y Santiso (1998). </w:t>
      </w:r>
      <w:r w:rsidR="00885628" w:rsidRPr="00043766">
        <w:rPr>
          <w:rFonts w:ascii="Times New Roman" w:hAnsi="Times New Roman" w:cs="Times New Roman"/>
          <w:sz w:val="24"/>
          <w:szCs w:val="24"/>
        </w:rPr>
        <w:t xml:space="preserve">Es presumible que los tres aspectos están interrelacionados y se pueden afectar </w:t>
      </w:r>
      <w:r w:rsidR="00F90C1B" w:rsidRPr="00043766">
        <w:rPr>
          <w:rFonts w:ascii="Times New Roman" w:hAnsi="Times New Roman" w:cs="Times New Roman"/>
          <w:sz w:val="24"/>
          <w:szCs w:val="24"/>
        </w:rPr>
        <w:t xml:space="preserve">de manera </w:t>
      </w:r>
      <w:r w:rsidR="00885628" w:rsidRPr="00043766">
        <w:rPr>
          <w:rFonts w:ascii="Times New Roman" w:hAnsi="Times New Roman" w:cs="Times New Roman"/>
          <w:sz w:val="24"/>
          <w:szCs w:val="24"/>
        </w:rPr>
        <w:t xml:space="preserve">mutua. Una secuencia o </w:t>
      </w:r>
      <w:r w:rsidR="00885628" w:rsidRPr="00043766">
        <w:rPr>
          <w:rFonts w:ascii="Times New Roman" w:hAnsi="Times New Roman" w:cs="Times New Roman"/>
          <w:i/>
          <w:sz w:val="24"/>
          <w:szCs w:val="24"/>
        </w:rPr>
        <w:t xml:space="preserve">timing </w:t>
      </w:r>
      <w:r w:rsidR="00885628" w:rsidRPr="00043766">
        <w:rPr>
          <w:rFonts w:ascii="Times New Roman" w:hAnsi="Times New Roman" w:cs="Times New Roman"/>
          <w:sz w:val="24"/>
          <w:szCs w:val="24"/>
        </w:rPr>
        <w:t>adecuado en la realización de reformas debe</w:t>
      </w:r>
      <w:r>
        <w:rPr>
          <w:rFonts w:ascii="Times New Roman" w:hAnsi="Times New Roman" w:cs="Times New Roman"/>
          <w:sz w:val="24"/>
          <w:szCs w:val="24"/>
        </w:rPr>
        <w:t>ría suponer la consideración</w:t>
      </w:r>
      <w:r w:rsidR="00885628" w:rsidRPr="00043766">
        <w:rPr>
          <w:rFonts w:ascii="Times New Roman" w:hAnsi="Times New Roman" w:cs="Times New Roman"/>
          <w:sz w:val="24"/>
          <w:szCs w:val="24"/>
        </w:rPr>
        <w:t xml:space="preserve"> </w:t>
      </w:r>
      <w:r>
        <w:rPr>
          <w:rFonts w:ascii="Times New Roman" w:hAnsi="Times New Roman" w:cs="Times New Roman"/>
          <w:sz w:val="24"/>
          <w:szCs w:val="24"/>
        </w:rPr>
        <w:t>d</w:t>
      </w:r>
      <w:r w:rsidR="00885628" w:rsidRPr="00043766">
        <w:rPr>
          <w:rFonts w:ascii="Times New Roman" w:hAnsi="Times New Roman" w:cs="Times New Roman"/>
          <w:sz w:val="24"/>
          <w:szCs w:val="24"/>
        </w:rPr>
        <w:t xml:space="preserve">el </w:t>
      </w:r>
      <w:r>
        <w:rPr>
          <w:rFonts w:ascii="Times New Roman" w:hAnsi="Times New Roman" w:cs="Times New Roman"/>
          <w:sz w:val="24"/>
          <w:szCs w:val="24"/>
        </w:rPr>
        <w:t>tiempo</w:t>
      </w:r>
      <w:r w:rsidR="00885628" w:rsidRPr="00043766">
        <w:rPr>
          <w:rFonts w:ascii="Times New Roman" w:hAnsi="Times New Roman" w:cs="Times New Roman"/>
          <w:sz w:val="24"/>
          <w:szCs w:val="24"/>
        </w:rPr>
        <w:t xml:space="preserve"> o</w:t>
      </w:r>
      <w:r>
        <w:rPr>
          <w:rFonts w:ascii="Times New Roman" w:hAnsi="Times New Roman" w:cs="Times New Roman"/>
          <w:sz w:val="24"/>
          <w:szCs w:val="24"/>
        </w:rPr>
        <w:t xml:space="preserve"> el</w:t>
      </w:r>
      <w:r w:rsidR="00885628" w:rsidRPr="00043766">
        <w:rPr>
          <w:rFonts w:ascii="Times New Roman" w:hAnsi="Times New Roman" w:cs="Times New Roman"/>
          <w:sz w:val="24"/>
          <w:szCs w:val="24"/>
        </w:rPr>
        <w:t xml:space="preserve"> contexto</w:t>
      </w:r>
      <w:r>
        <w:rPr>
          <w:rFonts w:ascii="Times New Roman" w:hAnsi="Times New Roman" w:cs="Times New Roman"/>
          <w:sz w:val="24"/>
          <w:szCs w:val="24"/>
        </w:rPr>
        <w:t xml:space="preserve"> en el que se harían</w:t>
      </w:r>
      <w:r w:rsidR="00885628" w:rsidRPr="00043766">
        <w:rPr>
          <w:rFonts w:ascii="Times New Roman" w:hAnsi="Times New Roman" w:cs="Times New Roman"/>
          <w:sz w:val="24"/>
          <w:szCs w:val="24"/>
        </w:rPr>
        <w:t xml:space="preserve"> para alcanzar mayor éxito, por un lado, y por otro, la velocidad con que ciertas reformas alcancen su consolidación </w:t>
      </w:r>
      <w:r>
        <w:rPr>
          <w:rFonts w:ascii="Times New Roman" w:hAnsi="Times New Roman" w:cs="Times New Roman"/>
          <w:sz w:val="24"/>
          <w:szCs w:val="24"/>
        </w:rPr>
        <w:t xml:space="preserve">o el mejor desempeño en el </w:t>
      </w:r>
      <w:r w:rsidRPr="00043766">
        <w:rPr>
          <w:rFonts w:ascii="Times New Roman" w:hAnsi="Times New Roman" w:cs="Times New Roman"/>
          <w:i/>
          <w:sz w:val="24"/>
          <w:szCs w:val="24"/>
        </w:rPr>
        <w:t>tempo</w:t>
      </w:r>
      <w:r>
        <w:rPr>
          <w:rFonts w:ascii="Times New Roman" w:hAnsi="Times New Roman" w:cs="Times New Roman"/>
          <w:sz w:val="24"/>
          <w:szCs w:val="24"/>
        </w:rPr>
        <w:t xml:space="preserve"> </w:t>
      </w:r>
      <w:r w:rsidR="00885628" w:rsidRPr="00043766">
        <w:rPr>
          <w:rFonts w:ascii="Times New Roman" w:hAnsi="Times New Roman" w:cs="Times New Roman"/>
          <w:sz w:val="24"/>
          <w:szCs w:val="24"/>
        </w:rPr>
        <w:t xml:space="preserve">se verá afectada no sólo por el </w:t>
      </w:r>
      <w:r w:rsidR="00885628" w:rsidRPr="00043766">
        <w:rPr>
          <w:rFonts w:ascii="Times New Roman" w:hAnsi="Times New Roman" w:cs="Times New Roman"/>
          <w:i/>
          <w:sz w:val="24"/>
          <w:szCs w:val="24"/>
        </w:rPr>
        <w:t>timing</w:t>
      </w:r>
      <w:r w:rsidR="00885628" w:rsidRPr="00043766">
        <w:rPr>
          <w:rFonts w:ascii="Times New Roman" w:hAnsi="Times New Roman" w:cs="Times New Roman"/>
          <w:sz w:val="24"/>
          <w:szCs w:val="24"/>
        </w:rPr>
        <w:t xml:space="preserve"> con el que fueron realizadas sino también por el momento de su realización.  </w:t>
      </w:r>
    </w:p>
    <w:p w14:paraId="05E245FA" w14:textId="77777777" w:rsidR="00540E24" w:rsidRPr="00043766" w:rsidRDefault="009421F7"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Los estudios sobre</w:t>
      </w:r>
      <w:r w:rsidR="00540E24" w:rsidRPr="00043766">
        <w:rPr>
          <w:rFonts w:ascii="Times New Roman" w:hAnsi="Times New Roman" w:cs="Times New Roman"/>
          <w:sz w:val="24"/>
          <w:szCs w:val="24"/>
        </w:rPr>
        <w:t xml:space="preserve"> calidad de la democracia</w:t>
      </w:r>
      <w:r w:rsidR="00DD79C0">
        <w:rPr>
          <w:rFonts w:ascii="Times New Roman" w:hAnsi="Times New Roman" w:cs="Times New Roman"/>
          <w:sz w:val="24"/>
          <w:szCs w:val="24"/>
        </w:rPr>
        <w:t xml:space="preserve"> no han carecido totalmente</w:t>
      </w:r>
      <w:r>
        <w:rPr>
          <w:rFonts w:ascii="Times New Roman" w:hAnsi="Times New Roman" w:cs="Times New Roman"/>
          <w:sz w:val="24"/>
          <w:szCs w:val="24"/>
        </w:rPr>
        <w:t xml:space="preserve"> de alguna consideración sobre </w:t>
      </w:r>
      <w:r w:rsidR="00A25D0F">
        <w:rPr>
          <w:rFonts w:ascii="Times New Roman" w:hAnsi="Times New Roman" w:cs="Times New Roman"/>
          <w:sz w:val="24"/>
          <w:szCs w:val="24"/>
        </w:rPr>
        <w:t xml:space="preserve">el cambio y </w:t>
      </w:r>
      <w:r>
        <w:rPr>
          <w:rFonts w:ascii="Times New Roman" w:hAnsi="Times New Roman" w:cs="Times New Roman"/>
          <w:sz w:val="24"/>
          <w:szCs w:val="24"/>
        </w:rPr>
        <w:t>la dimensión temporal. Al menos</w:t>
      </w:r>
      <w:r w:rsidR="00540E24" w:rsidRPr="00043766">
        <w:rPr>
          <w:rFonts w:ascii="Times New Roman" w:hAnsi="Times New Roman" w:cs="Times New Roman"/>
          <w:sz w:val="24"/>
          <w:szCs w:val="24"/>
        </w:rPr>
        <w:t xml:space="preserve"> implícitamente</w:t>
      </w:r>
      <w:r>
        <w:rPr>
          <w:rFonts w:ascii="Times New Roman" w:hAnsi="Times New Roman" w:cs="Times New Roman"/>
          <w:sz w:val="24"/>
          <w:szCs w:val="24"/>
        </w:rPr>
        <w:t>,</w:t>
      </w:r>
      <w:r w:rsidR="00540E24" w:rsidRPr="00043766">
        <w:rPr>
          <w:rFonts w:ascii="Times New Roman" w:hAnsi="Times New Roman" w:cs="Times New Roman"/>
          <w:sz w:val="24"/>
          <w:szCs w:val="24"/>
        </w:rPr>
        <w:t xml:space="preserve"> proponen cierta secuencia</w:t>
      </w:r>
      <w:r>
        <w:rPr>
          <w:rFonts w:ascii="Times New Roman" w:hAnsi="Times New Roman" w:cs="Times New Roman"/>
          <w:sz w:val="24"/>
          <w:szCs w:val="24"/>
        </w:rPr>
        <w:t xml:space="preserve"> o </w:t>
      </w:r>
      <w:r>
        <w:rPr>
          <w:rFonts w:ascii="Times New Roman" w:hAnsi="Times New Roman" w:cs="Times New Roman"/>
          <w:i/>
          <w:sz w:val="24"/>
          <w:szCs w:val="24"/>
        </w:rPr>
        <w:t>timing</w:t>
      </w:r>
      <w:r w:rsidR="00540E24" w:rsidRPr="00043766">
        <w:rPr>
          <w:rFonts w:ascii="Times New Roman" w:hAnsi="Times New Roman" w:cs="Times New Roman"/>
          <w:sz w:val="24"/>
          <w:szCs w:val="24"/>
        </w:rPr>
        <w:t xml:space="preserve"> </w:t>
      </w:r>
      <w:r>
        <w:rPr>
          <w:rFonts w:ascii="Times New Roman" w:hAnsi="Times New Roman" w:cs="Times New Roman"/>
          <w:sz w:val="24"/>
          <w:szCs w:val="24"/>
        </w:rPr>
        <w:t xml:space="preserve">ideal </w:t>
      </w:r>
      <w:r w:rsidR="00540E24" w:rsidRPr="00043766">
        <w:rPr>
          <w:rFonts w:ascii="Times New Roman" w:hAnsi="Times New Roman" w:cs="Times New Roman"/>
          <w:sz w:val="24"/>
          <w:szCs w:val="24"/>
        </w:rPr>
        <w:t>para la realización de reformas, pues sugieren que hay ciertas dimensiones</w:t>
      </w:r>
      <w:r>
        <w:rPr>
          <w:rFonts w:ascii="Times New Roman" w:hAnsi="Times New Roman" w:cs="Times New Roman"/>
          <w:sz w:val="24"/>
          <w:szCs w:val="24"/>
        </w:rPr>
        <w:t xml:space="preserve"> que resultan más</w:t>
      </w:r>
      <w:r w:rsidR="00540E24" w:rsidRPr="00043766">
        <w:rPr>
          <w:rFonts w:ascii="Times New Roman" w:hAnsi="Times New Roman" w:cs="Times New Roman"/>
          <w:sz w:val="24"/>
          <w:szCs w:val="24"/>
        </w:rPr>
        <w:t xml:space="preserve"> relevantes</w:t>
      </w:r>
      <w:r>
        <w:rPr>
          <w:rFonts w:ascii="Times New Roman" w:hAnsi="Times New Roman" w:cs="Times New Roman"/>
          <w:sz w:val="24"/>
          <w:szCs w:val="24"/>
        </w:rPr>
        <w:t xml:space="preserve"> y</w:t>
      </w:r>
      <w:r w:rsidR="00540E24" w:rsidRPr="00043766">
        <w:rPr>
          <w:rFonts w:ascii="Times New Roman" w:hAnsi="Times New Roman" w:cs="Times New Roman"/>
          <w:sz w:val="24"/>
          <w:szCs w:val="24"/>
        </w:rPr>
        <w:t xml:space="preserve"> que tienen</w:t>
      </w:r>
      <w:r w:rsidR="000735E5">
        <w:rPr>
          <w:rFonts w:ascii="Times New Roman" w:hAnsi="Times New Roman" w:cs="Times New Roman"/>
          <w:sz w:val="24"/>
          <w:szCs w:val="24"/>
        </w:rPr>
        <w:t xml:space="preserve"> cierto</w:t>
      </w:r>
      <w:r w:rsidR="00540E24" w:rsidRPr="00043766">
        <w:rPr>
          <w:rFonts w:ascii="Times New Roman" w:hAnsi="Times New Roman" w:cs="Times New Roman"/>
          <w:sz w:val="24"/>
          <w:szCs w:val="24"/>
        </w:rPr>
        <w:t xml:space="preserve"> impacto sobre los niveles de calidad de las otra</w:t>
      </w:r>
      <w:r w:rsidR="00A25D0F">
        <w:rPr>
          <w:rFonts w:ascii="Times New Roman" w:hAnsi="Times New Roman" w:cs="Times New Roman"/>
          <w:sz w:val="24"/>
          <w:szCs w:val="24"/>
        </w:rPr>
        <w:t>s</w:t>
      </w:r>
      <w:r w:rsidR="000735E5">
        <w:rPr>
          <w:rFonts w:ascii="Times New Roman" w:hAnsi="Times New Roman" w:cs="Times New Roman"/>
          <w:sz w:val="24"/>
          <w:szCs w:val="24"/>
        </w:rPr>
        <w:t>. Se presume que la explicación de</w:t>
      </w:r>
      <w:r w:rsidR="00540E24" w:rsidRPr="00043766">
        <w:rPr>
          <w:rFonts w:ascii="Times New Roman" w:hAnsi="Times New Roman" w:cs="Times New Roman"/>
          <w:sz w:val="24"/>
          <w:szCs w:val="24"/>
        </w:rPr>
        <w:t xml:space="preserve"> las diferencias entre los niveles de calida</w:t>
      </w:r>
      <w:r>
        <w:rPr>
          <w:rFonts w:ascii="Times New Roman" w:hAnsi="Times New Roman" w:cs="Times New Roman"/>
          <w:sz w:val="24"/>
          <w:szCs w:val="24"/>
        </w:rPr>
        <w:t>d de las democracia latinoamericanas</w:t>
      </w:r>
      <w:r w:rsidR="00400F77">
        <w:rPr>
          <w:rFonts w:ascii="Times New Roman" w:hAnsi="Times New Roman" w:cs="Times New Roman"/>
          <w:sz w:val="24"/>
          <w:szCs w:val="24"/>
        </w:rPr>
        <w:t xml:space="preserve"> puede estar relacionado</w:t>
      </w:r>
      <w:r w:rsidR="00540E24" w:rsidRPr="00043766">
        <w:rPr>
          <w:rFonts w:ascii="Times New Roman" w:hAnsi="Times New Roman" w:cs="Times New Roman"/>
          <w:sz w:val="24"/>
          <w:szCs w:val="24"/>
        </w:rPr>
        <w:t xml:space="preserve"> con dimensiones clave, como la del Estado</w:t>
      </w:r>
      <w:r w:rsidR="000735E5">
        <w:rPr>
          <w:rFonts w:ascii="Times New Roman" w:hAnsi="Times New Roman" w:cs="Times New Roman"/>
          <w:sz w:val="24"/>
          <w:szCs w:val="24"/>
        </w:rPr>
        <w:t xml:space="preserve"> de derecho,</w:t>
      </w:r>
      <w:r w:rsidR="00540E24" w:rsidRPr="00043766">
        <w:rPr>
          <w:rFonts w:ascii="Times New Roman" w:hAnsi="Times New Roman" w:cs="Times New Roman"/>
          <w:sz w:val="24"/>
          <w:szCs w:val="24"/>
        </w:rPr>
        <w:t xml:space="preserve"> (Morlino, 2013, Barreda, 2011). </w:t>
      </w:r>
      <w:r w:rsidR="000735E5">
        <w:rPr>
          <w:rFonts w:ascii="Times New Roman" w:hAnsi="Times New Roman" w:cs="Times New Roman"/>
          <w:sz w:val="24"/>
          <w:szCs w:val="24"/>
        </w:rPr>
        <w:t xml:space="preserve">Esta dimensión </w:t>
      </w:r>
      <w:r>
        <w:rPr>
          <w:rFonts w:ascii="Times New Roman" w:hAnsi="Times New Roman" w:cs="Times New Roman"/>
          <w:sz w:val="24"/>
          <w:szCs w:val="24"/>
        </w:rPr>
        <w:t>destaca debido a que</w:t>
      </w:r>
      <w:r w:rsidR="00540E24" w:rsidRPr="00043766">
        <w:rPr>
          <w:rFonts w:ascii="Times New Roman" w:hAnsi="Times New Roman" w:cs="Times New Roman"/>
          <w:sz w:val="24"/>
          <w:szCs w:val="24"/>
        </w:rPr>
        <w:t xml:space="preserve"> parece tener un peso </w:t>
      </w:r>
      <w:r w:rsidR="00A25D0F">
        <w:rPr>
          <w:rFonts w:ascii="Times New Roman" w:hAnsi="Times New Roman" w:cs="Times New Roman"/>
          <w:sz w:val="24"/>
          <w:szCs w:val="24"/>
        </w:rPr>
        <w:t xml:space="preserve">particular </w:t>
      </w:r>
      <w:r w:rsidR="00540E24" w:rsidRPr="00043766">
        <w:rPr>
          <w:rFonts w:ascii="Times New Roman" w:hAnsi="Times New Roman" w:cs="Times New Roman"/>
          <w:sz w:val="24"/>
          <w:szCs w:val="24"/>
        </w:rPr>
        <w:t>en el in</w:t>
      </w:r>
      <w:r>
        <w:rPr>
          <w:rFonts w:ascii="Times New Roman" w:hAnsi="Times New Roman" w:cs="Times New Roman"/>
          <w:sz w:val="24"/>
          <w:szCs w:val="24"/>
        </w:rPr>
        <w:t xml:space="preserve">cremento de la responsibidad y </w:t>
      </w:r>
      <w:r w:rsidR="00540E24" w:rsidRPr="00043766">
        <w:rPr>
          <w:rFonts w:ascii="Times New Roman" w:hAnsi="Times New Roman" w:cs="Times New Roman"/>
          <w:sz w:val="24"/>
          <w:szCs w:val="24"/>
        </w:rPr>
        <w:t>de la rendición de cuentas. La satisfacción ciudadana aumenta con el Estado de derecho y éste también fortalece y facilita la rendición de cuentas (Morlino, 2013). A su vez, el Estado de derecho podría estar determinado de manera importante</w:t>
      </w:r>
      <w:r>
        <w:rPr>
          <w:rFonts w:ascii="Times New Roman" w:hAnsi="Times New Roman" w:cs="Times New Roman"/>
          <w:sz w:val="24"/>
          <w:szCs w:val="24"/>
        </w:rPr>
        <w:t xml:space="preserve"> por el nivel de calidad de una subdimensión en particular, la del sistema judicial, </w:t>
      </w:r>
      <w:r w:rsidR="000735E5">
        <w:rPr>
          <w:rFonts w:ascii="Times New Roman" w:hAnsi="Times New Roman" w:cs="Times New Roman"/>
          <w:sz w:val="24"/>
          <w:szCs w:val="24"/>
        </w:rPr>
        <w:t>aunque</w:t>
      </w:r>
      <w:r w:rsidR="00540E24" w:rsidRPr="00043766">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00540E24" w:rsidRPr="00043766">
        <w:rPr>
          <w:rFonts w:ascii="Times New Roman" w:hAnsi="Times New Roman" w:cs="Times New Roman"/>
          <w:sz w:val="24"/>
          <w:szCs w:val="24"/>
        </w:rPr>
        <w:t>por la tradición legislativa y burocrática de cada país</w:t>
      </w:r>
      <w:r w:rsidR="003C2DD1">
        <w:rPr>
          <w:rFonts w:ascii="Times New Roman" w:hAnsi="Times New Roman" w:cs="Times New Roman"/>
          <w:sz w:val="24"/>
          <w:szCs w:val="24"/>
        </w:rPr>
        <w:t xml:space="preserve"> (Mor</w:t>
      </w:r>
      <w:r w:rsidR="00540E24" w:rsidRPr="00043766">
        <w:rPr>
          <w:rFonts w:ascii="Times New Roman" w:hAnsi="Times New Roman" w:cs="Times New Roman"/>
          <w:sz w:val="24"/>
          <w:szCs w:val="24"/>
        </w:rPr>
        <w:t xml:space="preserve">lino, 2013). </w:t>
      </w:r>
      <w:r w:rsidR="00FD023B" w:rsidRPr="00043766">
        <w:rPr>
          <w:rFonts w:ascii="Times New Roman" w:hAnsi="Times New Roman" w:cs="Times New Roman"/>
          <w:sz w:val="24"/>
          <w:szCs w:val="24"/>
        </w:rPr>
        <w:t xml:space="preserve">La consideración hipotética del mayor peso de ciertas dimensiones y subdimensiones sobre otras, como determinantes para la calidad de la democracia, supondría la necesidad de la </w:t>
      </w:r>
      <w:r w:rsidR="00FD023B" w:rsidRPr="00043766">
        <w:rPr>
          <w:rFonts w:ascii="Times New Roman" w:hAnsi="Times New Roman" w:cs="Times New Roman"/>
          <w:sz w:val="24"/>
          <w:szCs w:val="24"/>
        </w:rPr>
        <w:lastRenderedPageBreak/>
        <w:t>existencia previa de reformas institucionales relacionadas con esas dimensiones relevantes, es decir</w:t>
      </w:r>
      <w:r w:rsidR="00FD023B">
        <w:rPr>
          <w:rFonts w:ascii="Times New Roman" w:hAnsi="Times New Roman" w:cs="Times New Roman"/>
          <w:sz w:val="24"/>
          <w:szCs w:val="24"/>
        </w:rPr>
        <w:t>, implicaría</w:t>
      </w:r>
      <w:r w:rsidR="00FD023B" w:rsidRPr="00043766">
        <w:rPr>
          <w:rFonts w:ascii="Times New Roman" w:hAnsi="Times New Roman" w:cs="Times New Roman"/>
          <w:sz w:val="24"/>
          <w:szCs w:val="24"/>
        </w:rPr>
        <w:t xml:space="preserve"> una determinada secuencia en la realización de reformas durante el proceso de transición y consolidación.</w:t>
      </w:r>
      <w:r w:rsidR="00FD023B">
        <w:rPr>
          <w:rFonts w:ascii="Times New Roman" w:hAnsi="Times New Roman" w:cs="Times New Roman"/>
          <w:sz w:val="24"/>
          <w:szCs w:val="24"/>
        </w:rPr>
        <w:t xml:space="preserve"> </w:t>
      </w:r>
      <w:r>
        <w:rPr>
          <w:rFonts w:ascii="Times New Roman" w:hAnsi="Times New Roman" w:cs="Times New Roman"/>
          <w:sz w:val="24"/>
          <w:szCs w:val="24"/>
        </w:rPr>
        <w:t>Sin embargo, como bien lo señala Morlino, se trata de conjeturas, pues se requiere de investigación más profunda para aver</w:t>
      </w:r>
      <w:r w:rsidR="00540E24" w:rsidRPr="00043766">
        <w:rPr>
          <w:rFonts w:ascii="Times New Roman" w:hAnsi="Times New Roman" w:cs="Times New Roman"/>
          <w:sz w:val="24"/>
          <w:szCs w:val="24"/>
        </w:rPr>
        <w:t>iguar sobre la relación entre las distintas dimensiones y subdimensiones</w:t>
      </w:r>
      <w:r w:rsidR="00FD023B">
        <w:rPr>
          <w:rFonts w:ascii="Times New Roman" w:hAnsi="Times New Roman" w:cs="Times New Roman"/>
          <w:sz w:val="24"/>
          <w:szCs w:val="24"/>
        </w:rPr>
        <w:t xml:space="preserve"> de la calidad de la democracia</w:t>
      </w:r>
      <w:r w:rsidR="00540E24" w:rsidRPr="00043766">
        <w:rPr>
          <w:rFonts w:ascii="Times New Roman" w:hAnsi="Times New Roman" w:cs="Times New Roman"/>
          <w:sz w:val="24"/>
          <w:szCs w:val="24"/>
        </w:rPr>
        <w:t xml:space="preserve"> (Morlino, 2013). </w:t>
      </w:r>
      <w:r w:rsidR="00DD79C0">
        <w:rPr>
          <w:rFonts w:ascii="Times New Roman" w:hAnsi="Times New Roman" w:cs="Times New Roman"/>
          <w:sz w:val="24"/>
          <w:szCs w:val="24"/>
        </w:rPr>
        <w:t>Hacen falta</w:t>
      </w:r>
      <w:r w:rsidR="00FD023B">
        <w:rPr>
          <w:rFonts w:ascii="Times New Roman" w:hAnsi="Times New Roman" w:cs="Times New Roman"/>
          <w:sz w:val="24"/>
          <w:szCs w:val="24"/>
        </w:rPr>
        <w:t xml:space="preserve"> </w:t>
      </w:r>
      <w:r w:rsidR="00540E24" w:rsidRPr="00043766">
        <w:rPr>
          <w:rFonts w:ascii="Times New Roman" w:hAnsi="Times New Roman" w:cs="Times New Roman"/>
          <w:sz w:val="24"/>
          <w:szCs w:val="24"/>
        </w:rPr>
        <w:t>estu</w:t>
      </w:r>
      <w:r w:rsidR="00FD023B">
        <w:rPr>
          <w:rFonts w:ascii="Times New Roman" w:hAnsi="Times New Roman" w:cs="Times New Roman"/>
          <w:sz w:val="24"/>
          <w:szCs w:val="24"/>
        </w:rPr>
        <w:t xml:space="preserve">dios comparados que consideren </w:t>
      </w:r>
      <w:r w:rsidR="00D15B62">
        <w:rPr>
          <w:rFonts w:ascii="Times New Roman" w:hAnsi="Times New Roman" w:cs="Times New Roman"/>
          <w:sz w:val="24"/>
          <w:szCs w:val="24"/>
        </w:rPr>
        <w:t>el contexto y</w:t>
      </w:r>
      <w:r w:rsidR="00FD023B">
        <w:rPr>
          <w:rFonts w:ascii="Times New Roman" w:hAnsi="Times New Roman" w:cs="Times New Roman"/>
          <w:sz w:val="24"/>
          <w:szCs w:val="24"/>
        </w:rPr>
        <w:t xml:space="preserve"> la secuencia</w:t>
      </w:r>
      <w:r w:rsidR="00D15B62">
        <w:rPr>
          <w:rFonts w:ascii="Times New Roman" w:hAnsi="Times New Roman" w:cs="Times New Roman"/>
          <w:sz w:val="24"/>
          <w:szCs w:val="24"/>
        </w:rPr>
        <w:t xml:space="preserve"> en la realización de ciertas </w:t>
      </w:r>
      <w:r w:rsidR="00540E24" w:rsidRPr="00043766">
        <w:rPr>
          <w:rFonts w:ascii="Times New Roman" w:hAnsi="Times New Roman" w:cs="Times New Roman"/>
          <w:sz w:val="24"/>
          <w:szCs w:val="24"/>
        </w:rPr>
        <w:t>reformas</w:t>
      </w:r>
      <w:r w:rsidR="00FD023B">
        <w:rPr>
          <w:rFonts w:ascii="Times New Roman" w:hAnsi="Times New Roman" w:cs="Times New Roman"/>
          <w:sz w:val="24"/>
          <w:szCs w:val="24"/>
        </w:rPr>
        <w:t xml:space="preserve"> </w:t>
      </w:r>
      <w:r w:rsidR="00D15B62">
        <w:rPr>
          <w:rFonts w:ascii="Times New Roman" w:hAnsi="Times New Roman" w:cs="Times New Roman"/>
          <w:sz w:val="24"/>
          <w:szCs w:val="24"/>
        </w:rPr>
        <w:t>en países con buenos y malo</w:t>
      </w:r>
      <w:r w:rsidR="00540E24" w:rsidRPr="00043766">
        <w:rPr>
          <w:rFonts w:ascii="Times New Roman" w:hAnsi="Times New Roman" w:cs="Times New Roman"/>
          <w:sz w:val="24"/>
          <w:szCs w:val="24"/>
        </w:rPr>
        <w:t>s niveles de calidad</w:t>
      </w:r>
      <w:r w:rsidR="000735E5">
        <w:rPr>
          <w:rFonts w:ascii="Times New Roman" w:hAnsi="Times New Roman" w:cs="Times New Roman"/>
          <w:sz w:val="24"/>
          <w:szCs w:val="24"/>
        </w:rPr>
        <w:t>,</w:t>
      </w:r>
      <w:r w:rsidR="00540E24" w:rsidRPr="00043766">
        <w:rPr>
          <w:rFonts w:ascii="Times New Roman" w:hAnsi="Times New Roman" w:cs="Times New Roman"/>
          <w:sz w:val="24"/>
          <w:szCs w:val="24"/>
        </w:rPr>
        <w:t xml:space="preserve"> para observar el impacto de las reformas iniciales sobre las posteriores.</w:t>
      </w:r>
      <w:r w:rsidR="00D15B62">
        <w:rPr>
          <w:rFonts w:ascii="Times New Roman" w:hAnsi="Times New Roman" w:cs="Times New Roman"/>
          <w:sz w:val="24"/>
          <w:szCs w:val="24"/>
        </w:rPr>
        <w:t xml:space="preserve"> Una vez establecidas las reformas, se tendría que estudiar de manera comparada la forma en que operan a lo largo del tiempo y</w:t>
      </w:r>
      <w:r w:rsidR="00A25D0F">
        <w:rPr>
          <w:rFonts w:ascii="Times New Roman" w:hAnsi="Times New Roman" w:cs="Times New Roman"/>
          <w:sz w:val="24"/>
          <w:szCs w:val="24"/>
        </w:rPr>
        <w:t xml:space="preserve"> los</w:t>
      </w:r>
      <w:r w:rsidR="00D15B62">
        <w:rPr>
          <w:rFonts w:ascii="Times New Roman" w:hAnsi="Times New Roman" w:cs="Times New Roman"/>
          <w:sz w:val="24"/>
          <w:szCs w:val="24"/>
        </w:rPr>
        <w:t xml:space="preserve"> cambios</w:t>
      </w:r>
      <w:r w:rsidR="003C2DD1">
        <w:rPr>
          <w:rFonts w:ascii="Times New Roman" w:hAnsi="Times New Roman" w:cs="Times New Roman"/>
          <w:sz w:val="24"/>
          <w:szCs w:val="24"/>
        </w:rPr>
        <w:t xml:space="preserve"> que experimentan.</w:t>
      </w:r>
      <w:r w:rsidR="00D15B62">
        <w:rPr>
          <w:rFonts w:ascii="Times New Roman" w:hAnsi="Times New Roman" w:cs="Times New Roman"/>
          <w:sz w:val="24"/>
          <w:szCs w:val="24"/>
        </w:rPr>
        <w:t xml:space="preserve"> Asimismo, estos estudios tendrían que considerar la presencia de conflictos alrededor de la institución y sus reglas, </w:t>
      </w:r>
      <w:r w:rsidR="003C2DD1">
        <w:rPr>
          <w:rFonts w:ascii="Times New Roman" w:hAnsi="Times New Roman" w:cs="Times New Roman"/>
          <w:sz w:val="24"/>
          <w:szCs w:val="24"/>
        </w:rPr>
        <w:t xml:space="preserve">las </w:t>
      </w:r>
      <w:r w:rsidR="00D15B62">
        <w:rPr>
          <w:rFonts w:ascii="Times New Roman" w:hAnsi="Times New Roman" w:cs="Times New Roman"/>
          <w:sz w:val="24"/>
          <w:szCs w:val="24"/>
        </w:rPr>
        <w:t xml:space="preserve">coaliciones a favor y en contra y </w:t>
      </w:r>
      <w:r w:rsidR="003C2DD1">
        <w:rPr>
          <w:rFonts w:ascii="Times New Roman" w:hAnsi="Times New Roman" w:cs="Times New Roman"/>
          <w:sz w:val="24"/>
          <w:szCs w:val="24"/>
        </w:rPr>
        <w:t xml:space="preserve">las </w:t>
      </w:r>
      <w:r w:rsidR="00D15B62">
        <w:rPr>
          <w:rFonts w:ascii="Times New Roman" w:hAnsi="Times New Roman" w:cs="Times New Roman"/>
          <w:sz w:val="24"/>
          <w:szCs w:val="24"/>
        </w:rPr>
        <w:t>formas de cambio gradual que la fortalecen o la debilitan, para explicar con mayor profundidad</w:t>
      </w:r>
      <w:r w:rsidR="003C2DD1">
        <w:rPr>
          <w:rFonts w:ascii="Times New Roman" w:hAnsi="Times New Roman" w:cs="Times New Roman"/>
          <w:sz w:val="24"/>
          <w:szCs w:val="24"/>
        </w:rPr>
        <w:t xml:space="preserve"> sus niveles de calidad en la actualidad.</w:t>
      </w:r>
      <w:r w:rsidR="00A25D0F">
        <w:rPr>
          <w:rFonts w:ascii="Times New Roman" w:hAnsi="Times New Roman" w:cs="Times New Roman"/>
          <w:sz w:val="24"/>
          <w:szCs w:val="24"/>
        </w:rPr>
        <w:t xml:space="preserve"> En otras palabras, l</w:t>
      </w:r>
      <w:r w:rsidR="00F30ACB">
        <w:rPr>
          <w:rFonts w:ascii="Times New Roman" w:hAnsi="Times New Roman" w:cs="Times New Roman"/>
          <w:sz w:val="24"/>
          <w:szCs w:val="24"/>
        </w:rPr>
        <w:t xml:space="preserve">as determinantes de la evolución de la calidad de la democracia, de las que habla Morlino (2013) como una interrogante a contestar, pueden estar relacionadas con </w:t>
      </w:r>
      <w:r w:rsidR="00173E46">
        <w:rPr>
          <w:rFonts w:ascii="Times New Roman" w:hAnsi="Times New Roman" w:cs="Times New Roman"/>
          <w:sz w:val="24"/>
          <w:szCs w:val="24"/>
        </w:rPr>
        <w:t xml:space="preserve">el contexto y el </w:t>
      </w:r>
      <w:r w:rsidR="00173E46" w:rsidRPr="00173E46">
        <w:rPr>
          <w:rFonts w:ascii="Times New Roman" w:hAnsi="Times New Roman" w:cs="Times New Roman"/>
          <w:i/>
          <w:sz w:val="24"/>
          <w:szCs w:val="24"/>
        </w:rPr>
        <w:t>timing</w:t>
      </w:r>
      <w:r w:rsidR="00173E46">
        <w:rPr>
          <w:rFonts w:ascii="Times New Roman" w:hAnsi="Times New Roman" w:cs="Times New Roman"/>
          <w:sz w:val="24"/>
          <w:szCs w:val="24"/>
        </w:rPr>
        <w:t xml:space="preserve"> de las reformas</w:t>
      </w:r>
      <w:r w:rsidR="00A25D0F">
        <w:rPr>
          <w:rFonts w:ascii="Times New Roman" w:hAnsi="Times New Roman" w:cs="Times New Roman"/>
          <w:sz w:val="24"/>
          <w:szCs w:val="24"/>
        </w:rPr>
        <w:t>, por un lado,</w:t>
      </w:r>
      <w:r w:rsidR="00173E46">
        <w:rPr>
          <w:rFonts w:ascii="Times New Roman" w:hAnsi="Times New Roman" w:cs="Times New Roman"/>
          <w:sz w:val="24"/>
          <w:szCs w:val="24"/>
        </w:rPr>
        <w:t xml:space="preserve"> así como con la operación de las instituciones, donde en lugar de una retroalimentación positiva pueden darse procesos de cambio gradual</w:t>
      </w:r>
      <w:r w:rsidR="00A25D0F">
        <w:rPr>
          <w:rFonts w:ascii="Times New Roman" w:hAnsi="Times New Roman" w:cs="Times New Roman"/>
          <w:sz w:val="24"/>
          <w:szCs w:val="24"/>
        </w:rPr>
        <w:t xml:space="preserve"> resultado de </w:t>
      </w:r>
      <w:r w:rsidR="00173E46">
        <w:rPr>
          <w:rFonts w:ascii="Times New Roman" w:hAnsi="Times New Roman" w:cs="Times New Roman"/>
          <w:sz w:val="24"/>
          <w:szCs w:val="24"/>
        </w:rPr>
        <w:t>la presencia de conflictos entre</w:t>
      </w:r>
      <w:r w:rsidR="00A25D0F">
        <w:rPr>
          <w:rFonts w:ascii="Times New Roman" w:hAnsi="Times New Roman" w:cs="Times New Roman"/>
          <w:sz w:val="24"/>
          <w:szCs w:val="24"/>
        </w:rPr>
        <w:t xml:space="preserve"> las</w:t>
      </w:r>
      <w:r w:rsidR="00173E46">
        <w:rPr>
          <w:rFonts w:ascii="Times New Roman" w:hAnsi="Times New Roman" w:cs="Times New Roman"/>
          <w:sz w:val="24"/>
          <w:szCs w:val="24"/>
        </w:rPr>
        <w:t xml:space="preserve"> coaliciones </w:t>
      </w:r>
      <w:r w:rsidR="00A25D0F">
        <w:rPr>
          <w:rFonts w:ascii="Times New Roman" w:hAnsi="Times New Roman" w:cs="Times New Roman"/>
          <w:sz w:val="24"/>
          <w:szCs w:val="24"/>
        </w:rPr>
        <w:t xml:space="preserve">políticas relacionadas con </w:t>
      </w:r>
      <w:r w:rsidR="00173E46">
        <w:rPr>
          <w:rFonts w:ascii="Times New Roman" w:hAnsi="Times New Roman" w:cs="Times New Roman"/>
          <w:sz w:val="24"/>
          <w:szCs w:val="24"/>
        </w:rPr>
        <w:t xml:space="preserve">la institución.   </w:t>
      </w:r>
      <w:r w:rsidR="00D15B62">
        <w:rPr>
          <w:rFonts w:ascii="Times New Roman" w:hAnsi="Times New Roman" w:cs="Times New Roman"/>
          <w:sz w:val="24"/>
          <w:szCs w:val="24"/>
        </w:rPr>
        <w:t xml:space="preserve">  </w:t>
      </w:r>
    </w:p>
    <w:p w14:paraId="54A347E2" w14:textId="77777777" w:rsidR="00540E24" w:rsidRPr="00043766" w:rsidRDefault="007D0123" w:rsidP="00FA33BE">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CALIDAD DEL ESTADO DE DERECHO EN MÉXICO Y CHILE.</w:t>
      </w:r>
    </w:p>
    <w:p w14:paraId="17098E8F" w14:textId="77777777" w:rsidR="007A5EAD" w:rsidRPr="00043766" w:rsidRDefault="00A25D0F" w:rsidP="00FA33BE">
      <w:pPr>
        <w:spacing w:line="240" w:lineRule="auto"/>
        <w:jc w:val="both"/>
        <w:rPr>
          <w:rFonts w:ascii="Times New Roman" w:hAnsi="Times New Roman" w:cs="Times New Roman"/>
          <w:sz w:val="24"/>
          <w:szCs w:val="24"/>
        </w:rPr>
      </w:pPr>
      <w:r w:rsidRPr="00123EE5">
        <w:rPr>
          <w:rFonts w:ascii="Times New Roman" w:hAnsi="Times New Roman" w:cs="Times New Roman"/>
          <w:sz w:val="24"/>
          <w:szCs w:val="24"/>
        </w:rPr>
        <w:t>Los estudios más recientes muestran diferencias relativamente claras entre la</w:t>
      </w:r>
      <w:r w:rsidR="005E50C6" w:rsidRPr="00123EE5">
        <w:rPr>
          <w:rFonts w:ascii="Times New Roman" w:hAnsi="Times New Roman" w:cs="Times New Roman"/>
          <w:sz w:val="24"/>
          <w:szCs w:val="24"/>
        </w:rPr>
        <w:t xml:space="preserve"> calidad de l</w:t>
      </w:r>
      <w:r w:rsidR="00E1038C" w:rsidRPr="00123EE5">
        <w:rPr>
          <w:rFonts w:ascii="Times New Roman" w:hAnsi="Times New Roman" w:cs="Times New Roman"/>
          <w:sz w:val="24"/>
          <w:szCs w:val="24"/>
        </w:rPr>
        <w:t>a</w:t>
      </w:r>
      <w:r w:rsidR="00E1038C" w:rsidRPr="00043766">
        <w:rPr>
          <w:rFonts w:ascii="Times New Roman" w:hAnsi="Times New Roman" w:cs="Times New Roman"/>
          <w:sz w:val="24"/>
          <w:szCs w:val="24"/>
        </w:rPr>
        <w:t xml:space="preserve"> democracia en México y</w:t>
      </w:r>
      <w:r>
        <w:rPr>
          <w:rFonts w:ascii="Times New Roman" w:hAnsi="Times New Roman" w:cs="Times New Roman"/>
          <w:sz w:val="24"/>
          <w:szCs w:val="24"/>
        </w:rPr>
        <w:t xml:space="preserve"> en</w:t>
      </w:r>
      <w:r w:rsidR="00123EE5">
        <w:rPr>
          <w:rFonts w:ascii="Times New Roman" w:hAnsi="Times New Roman" w:cs="Times New Roman"/>
          <w:sz w:val="24"/>
          <w:szCs w:val="24"/>
        </w:rPr>
        <w:t xml:space="preserve"> Chile, mientras que este último es uno de los tres</w:t>
      </w:r>
      <w:r w:rsidR="00872043" w:rsidRPr="00043766">
        <w:rPr>
          <w:rFonts w:ascii="Times New Roman" w:hAnsi="Times New Roman" w:cs="Times New Roman"/>
          <w:sz w:val="24"/>
          <w:szCs w:val="24"/>
        </w:rPr>
        <w:t xml:space="preserve"> países</w:t>
      </w:r>
      <w:r w:rsidR="00123EE5">
        <w:rPr>
          <w:rFonts w:ascii="Times New Roman" w:hAnsi="Times New Roman" w:cs="Times New Roman"/>
          <w:sz w:val="24"/>
          <w:szCs w:val="24"/>
        </w:rPr>
        <w:t xml:space="preserve"> latinoame</w:t>
      </w:r>
      <w:r w:rsidR="00A30ACC">
        <w:rPr>
          <w:rFonts w:ascii="Times New Roman" w:hAnsi="Times New Roman" w:cs="Times New Roman"/>
          <w:sz w:val="24"/>
          <w:szCs w:val="24"/>
        </w:rPr>
        <w:t>ricanos con los mejores niveles</w:t>
      </w:r>
      <w:r w:rsidR="00123EE5">
        <w:rPr>
          <w:rFonts w:ascii="Times New Roman" w:hAnsi="Times New Roman" w:cs="Times New Roman"/>
          <w:sz w:val="24"/>
          <w:szCs w:val="24"/>
        </w:rPr>
        <w:t>,</w:t>
      </w:r>
      <w:r w:rsidR="00872043" w:rsidRPr="00043766">
        <w:rPr>
          <w:rFonts w:ascii="Times New Roman" w:hAnsi="Times New Roman" w:cs="Times New Roman"/>
          <w:sz w:val="24"/>
          <w:szCs w:val="24"/>
        </w:rPr>
        <w:t xml:space="preserve"> México </w:t>
      </w:r>
      <w:r w:rsidR="00A01EF8" w:rsidRPr="00043766">
        <w:rPr>
          <w:rFonts w:ascii="Times New Roman" w:hAnsi="Times New Roman" w:cs="Times New Roman"/>
          <w:sz w:val="24"/>
          <w:szCs w:val="24"/>
        </w:rPr>
        <w:t>se encuentra</w:t>
      </w:r>
      <w:r w:rsidR="00123EE5">
        <w:rPr>
          <w:rFonts w:ascii="Times New Roman" w:hAnsi="Times New Roman" w:cs="Times New Roman"/>
          <w:sz w:val="24"/>
          <w:szCs w:val="24"/>
        </w:rPr>
        <w:t xml:space="preserve"> </w:t>
      </w:r>
      <w:r w:rsidR="00A01EF8" w:rsidRPr="00043766">
        <w:rPr>
          <w:rFonts w:ascii="Times New Roman" w:hAnsi="Times New Roman" w:cs="Times New Roman"/>
          <w:sz w:val="24"/>
          <w:szCs w:val="24"/>
        </w:rPr>
        <w:t>en</w:t>
      </w:r>
      <w:r w:rsidR="00F71C04">
        <w:rPr>
          <w:rFonts w:ascii="Times New Roman" w:hAnsi="Times New Roman" w:cs="Times New Roman"/>
          <w:sz w:val="24"/>
          <w:szCs w:val="24"/>
        </w:rPr>
        <w:t xml:space="preserve"> una posición intermedia</w:t>
      </w:r>
      <w:r w:rsidR="00A01EF8" w:rsidRPr="00043766">
        <w:rPr>
          <w:rFonts w:ascii="Times New Roman" w:hAnsi="Times New Roman" w:cs="Times New Roman"/>
          <w:sz w:val="24"/>
          <w:szCs w:val="24"/>
        </w:rPr>
        <w:t>.</w:t>
      </w:r>
      <w:r w:rsidR="00123EE5">
        <w:rPr>
          <w:rFonts w:ascii="Times New Roman" w:hAnsi="Times New Roman" w:cs="Times New Roman"/>
          <w:sz w:val="24"/>
          <w:szCs w:val="24"/>
        </w:rPr>
        <w:t xml:space="preserve"> Pero además, se puede observar un desempeño hasta cierto punto opuesto en lo que se refiere a las dimensiones en la</w:t>
      </w:r>
      <w:r w:rsidR="00B4505F">
        <w:rPr>
          <w:rFonts w:ascii="Times New Roman" w:hAnsi="Times New Roman" w:cs="Times New Roman"/>
          <w:sz w:val="24"/>
          <w:szCs w:val="24"/>
        </w:rPr>
        <w:t>s que se tiene buena o mala calidad</w:t>
      </w:r>
      <w:r w:rsidR="00123EE5">
        <w:rPr>
          <w:rFonts w:ascii="Times New Roman" w:hAnsi="Times New Roman" w:cs="Times New Roman"/>
          <w:sz w:val="24"/>
          <w:szCs w:val="24"/>
        </w:rPr>
        <w:t>. Siguiendo la distinción de Mazzuca (</w:t>
      </w:r>
      <w:r w:rsidR="00F71C04">
        <w:rPr>
          <w:rFonts w:ascii="Times New Roman" w:hAnsi="Times New Roman" w:cs="Times New Roman"/>
          <w:sz w:val="24"/>
          <w:szCs w:val="24"/>
        </w:rPr>
        <w:t>2010</w:t>
      </w:r>
      <w:r w:rsidR="00123EE5">
        <w:rPr>
          <w:rFonts w:ascii="Times New Roman" w:hAnsi="Times New Roman" w:cs="Times New Roman"/>
          <w:sz w:val="24"/>
          <w:szCs w:val="24"/>
        </w:rPr>
        <w:t>), mientras que Chile muestra un buen desempeño en la</w:t>
      </w:r>
      <w:r w:rsidR="00F71C04">
        <w:rPr>
          <w:rFonts w:ascii="Times New Roman" w:hAnsi="Times New Roman" w:cs="Times New Roman"/>
          <w:sz w:val="24"/>
          <w:szCs w:val="24"/>
        </w:rPr>
        <w:t>s</w:t>
      </w:r>
      <w:r w:rsidR="00123EE5">
        <w:rPr>
          <w:rFonts w:ascii="Times New Roman" w:hAnsi="Times New Roman" w:cs="Times New Roman"/>
          <w:sz w:val="24"/>
          <w:szCs w:val="24"/>
        </w:rPr>
        <w:t xml:space="preserve"> dimensiones relacionadas con el ejercicio del poder</w:t>
      </w:r>
      <w:r w:rsidR="00F71C04">
        <w:rPr>
          <w:rFonts w:ascii="Times New Roman" w:hAnsi="Times New Roman" w:cs="Times New Roman"/>
          <w:sz w:val="24"/>
          <w:szCs w:val="24"/>
        </w:rPr>
        <w:t xml:space="preserve">, pero no tan bueno en las que corresponden al acceso, en México sucede lo contrario, sus niveles más altos de calidad están en las dimensiones que tienen que ver con el acceso mientras las que corresponden al ejercicio del poder muestran una mala calidad (ver Tabla 1).  </w:t>
      </w:r>
    </w:p>
    <w:p w14:paraId="64AEB52D" w14:textId="77777777" w:rsidR="00043EBE" w:rsidRDefault="00043EBE" w:rsidP="00FA33B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D696627" w14:textId="77777777" w:rsidR="00B25317" w:rsidRPr="00F67074" w:rsidRDefault="00F67074"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lastRenderedPageBreak/>
        <w:t xml:space="preserve">TABLA 1. </w:t>
      </w:r>
      <w:r w:rsidR="004F02B6" w:rsidRPr="00F67074">
        <w:rPr>
          <w:rFonts w:ascii="Times New Roman" w:hAnsi="Times New Roman" w:cs="Times New Roman"/>
          <w:sz w:val="20"/>
          <w:szCs w:val="20"/>
        </w:rPr>
        <w:t xml:space="preserve">CALIDAD </w:t>
      </w:r>
      <w:r>
        <w:rPr>
          <w:rFonts w:ascii="Times New Roman" w:hAnsi="Times New Roman" w:cs="Times New Roman"/>
          <w:sz w:val="20"/>
          <w:szCs w:val="20"/>
        </w:rPr>
        <w:t>DE LA DEMOCRACIA</w:t>
      </w:r>
      <w:r w:rsidR="00B4505F">
        <w:rPr>
          <w:rFonts w:ascii="Times New Roman" w:hAnsi="Times New Roman" w:cs="Times New Roman"/>
          <w:sz w:val="20"/>
          <w:szCs w:val="20"/>
        </w:rPr>
        <w:t xml:space="preserve"> EN</w:t>
      </w:r>
      <w:r>
        <w:rPr>
          <w:rFonts w:ascii="Times New Roman" w:hAnsi="Times New Roman" w:cs="Times New Roman"/>
          <w:sz w:val="20"/>
          <w:szCs w:val="20"/>
        </w:rPr>
        <w:t xml:space="preserve"> MÉXICO</w:t>
      </w:r>
      <w:r w:rsidR="00B4505F">
        <w:rPr>
          <w:rFonts w:ascii="Times New Roman" w:hAnsi="Times New Roman" w:cs="Times New Roman"/>
          <w:sz w:val="20"/>
          <w:szCs w:val="20"/>
        </w:rPr>
        <w:t xml:space="preserve"> Y </w:t>
      </w:r>
      <w:r>
        <w:rPr>
          <w:rFonts w:ascii="Times New Roman" w:hAnsi="Times New Roman" w:cs="Times New Roman"/>
          <w:sz w:val="20"/>
          <w:szCs w:val="20"/>
        </w:rPr>
        <w:t>CHILE</w:t>
      </w:r>
      <w:r w:rsidR="005D439C" w:rsidRPr="00F67074">
        <w:rPr>
          <w:rFonts w:ascii="Times New Roman" w:hAnsi="Times New Roman" w:cs="Times New Roman"/>
          <w:sz w:val="20"/>
          <w:szCs w:val="20"/>
        </w:rPr>
        <w:t xml:space="preserve"> DESDE 2010.</w:t>
      </w:r>
    </w:p>
    <w:tbl>
      <w:tblPr>
        <w:tblStyle w:val="Tablaconcuadrcula"/>
        <w:tblW w:w="0" w:type="auto"/>
        <w:tblLook w:val="04A0" w:firstRow="1" w:lastRow="0" w:firstColumn="1" w:lastColumn="0" w:noHBand="0" w:noVBand="1"/>
      </w:tblPr>
      <w:tblGrid>
        <w:gridCol w:w="1172"/>
        <w:gridCol w:w="981"/>
        <w:gridCol w:w="981"/>
        <w:gridCol w:w="981"/>
        <w:gridCol w:w="981"/>
        <w:gridCol w:w="981"/>
        <w:gridCol w:w="981"/>
        <w:gridCol w:w="981"/>
        <w:gridCol w:w="981"/>
      </w:tblGrid>
      <w:tr w:rsidR="00043EBE" w:rsidRPr="00F67074" w14:paraId="14E196FA" w14:textId="77777777" w:rsidTr="00364362">
        <w:tc>
          <w:tcPr>
            <w:tcW w:w="980" w:type="dxa"/>
          </w:tcPr>
          <w:p w14:paraId="6F80A1BC"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País/dimen-sión</w:t>
            </w:r>
          </w:p>
        </w:tc>
        <w:tc>
          <w:tcPr>
            <w:tcW w:w="981" w:type="dxa"/>
          </w:tcPr>
          <w:p w14:paraId="34C992A6"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 xml:space="preserve">E. </w:t>
            </w:r>
            <w:r w:rsidR="00043EBE" w:rsidRPr="00F67074">
              <w:rPr>
                <w:rFonts w:ascii="Times New Roman" w:hAnsi="Times New Roman" w:cs="Times New Roman"/>
                <w:sz w:val="20"/>
                <w:szCs w:val="20"/>
              </w:rPr>
              <w:t xml:space="preserve">D. </w:t>
            </w:r>
          </w:p>
          <w:p w14:paraId="340BACC4" w14:textId="77777777" w:rsidR="0054555B" w:rsidRPr="00F67074" w:rsidRDefault="00043EBE" w:rsidP="00FA33BE">
            <w:pPr>
              <w:jc w:val="both"/>
              <w:rPr>
                <w:rFonts w:ascii="Times New Roman" w:hAnsi="Times New Roman" w:cs="Times New Roman"/>
                <w:sz w:val="20"/>
                <w:szCs w:val="20"/>
              </w:rPr>
            </w:pPr>
            <w:r w:rsidRPr="00F67074">
              <w:rPr>
                <w:rFonts w:ascii="Times New Roman" w:hAnsi="Times New Roman" w:cs="Times New Roman"/>
                <w:sz w:val="20"/>
                <w:szCs w:val="20"/>
              </w:rPr>
              <w:t>C.R.</w:t>
            </w:r>
          </w:p>
        </w:tc>
        <w:tc>
          <w:tcPr>
            <w:tcW w:w="981" w:type="dxa"/>
          </w:tcPr>
          <w:p w14:paraId="3EEFB977"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P</w:t>
            </w:r>
            <w:r w:rsidR="00043EBE" w:rsidRPr="00F67074">
              <w:rPr>
                <w:rFonts w:ascii="Times New Roman" w:hAnsi="Times New Roman" w:cs="Times New Roman"/>
                <w:sz w:val="20"/>
                <w:szCs w:val="20"/>
              </w:rPr>
              <w:t>.</w:t>
            </w:r>
          </w:p>
        </w:tc>
        <w:tc>
          <w:tcPr>
            <w:tcW w:w="981" w:type="dxa"/>
          </w:tcPr>
          <w:p w14:paraId="0DAAD10B"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R</w:t>
            </w:r>
            <w:r w:rsidR="00043EBE" w:rsidRPr="00F67074">
              <w:rPr>
                <w:rFonts w:ascii="Times New Roman" w:hAnsi="Times New Roman" w:cs="Times New Roman"/>
                <w:sz w:val="20"/>
                <w:szCs w:val="20"/>
              </w:rPr>
              <w:t>.</w:t>
            </w:r>
          </w:p>
        </w:tc>
        <w:tc>
          <w:tcPr>
            <w:tcW w:w="981" w:type="dxa"/>
          </w:tcPr>
          <w:p w14:paraId="6D22390F" w14:textId="77777777" w:rsidR="0054555B"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R</w:t>
            </w:r>
            <w:r w:rsidR="00043EBE" w:rsidRPr="00F67074">
              <w:rPr>
                <w:rFonts w:ascii="Times New Roman" w:hAnsi="Times New Roman" w:cs="Times New Roman"/>
                <w:sz w:val="20"/>
                <w:szCs w:val="20"/>
              </w:rPr>
              <w:t>. E.</w:t>
            </w:r>
          </w:p>
        </w:tc>
        <w:tc>
          <w:tcPr>
            <w:tcW w:w="981" w:type="dxa"/>
          </w:tcPr>
          <w:p w14:paraId="54F3D8C7" w14:textId="77777777" w:rsidR="0054555B"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R</w:t>
            </w:r>
            <w:r w:rsidR="006A11CC" w:rsidRPr="00F67074">
              <w:rPr>
                <w:rFonts w:ascii="Times New Roman" w:hAnsi="Times New Roman" w:cs="Times New Roman"/>
                <w:sz w:val="20"/>
                <w:szCs w:val="20"/>
              </w:rPr>
              <w:t>.</w:t>
            </w:r>
            <w:r w:rsidR="00043EBE" w:rsidRPr="00F67074">
              <w:rPr>
                <w:rFonts w:ascii="Times New Roman" w:hAnsi="Times New Roman" w:cs="Times New Roman"/>
                <w:sz w:val="20"/>
                <w:szCs w:val="20"/>
              </w:rPr>
              <w:t xml:space="preserve"> I.</w:t>
            </w:r>
          </w:p>
        </w:tc>
        <w:tc>
          <w:tcPr>
            <w:tcW w:w="981" w:type="dxa"/>
          </w:tcPr>
          <w:p w14:paraId="29D02C87" w14:textId="77777777" w:rsidR="0054555B"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C</w:t>
            </w:r>
            <w:r w:rsidR="00043EBE" w:rsidRPr="00F67074">
              <w:rPr>
                <w:rFonts w:ascii="Times New Roman" w:hAnsi="Times New Roman" w:cs="Times New Roman"/>
                <w:sz w:val="20"/>
                <w:szCs w:val="20"/>
              </w:rPr>
              <w:t>. P.</w:t>
            </w:r>
          </w:p>
        </w:tc>
        <w:tc>
          <w:tcPr>
            <w:tcW w:w="981" w:type="dxa"/>
          </w:tcPr>
          <w:p w14:paraId="3248EF8A"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D</w:t>
            </w:r>
            <w:r w:rsidR="00043EBE" w:rsidRPr="00F67074">
              <w:rPr>
                <w:rFonts w:ascii="Times New Roman" w:hAnsi="Times New Roman" w:cs="Times New Roman"/>
                <w:sz w:val="20"/>
                <w:szCs w:val="20"/>
              </w:rPr>
              <w:t xml:space="preserve">. </w:t>
            </w:r>
          </w:p>
        </w:tc>
        <w:tc>
          <w:tcPr>
            <w:tcW w:w="981" w:type="dxa"/>
          </w:tcPr>
          <w:p w14:paraId="331A5953"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I</w:t>
            </w:r>
            <w:r w:rsidR="00043EBE" w:rsidRPr="00F67074">
              <w:rPr>
                <w:rFonts w:ascii="Times New Roman" w:hAnsi="Times New Roman" w:cs="Times New Roman"/>
                <w:sz w:val="20"/>
                <w:szCs w:val="20"/>
              </w:rPr>
              <w:t>.</w:t>
            </w:r>
          </w:p>
        </w:tc>
      </w:tr>
      <w:tr w:rsidR="00043EBE" w:rsidRPr="00F67074" w14:paraId="1655E8C7" w14:textId="77777777" w:rsidTr="00364362">
        <w:tc>
          <w:tcPr>
            <w:tcW w:w="980" w:type="dxa"/>
          </w:tcPr>
          <w:p w14:paraId="2D69B5C9"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México</w:t>
            </w:r>
          </w:p>
        </w:tc>
        <w:tc>
          <w:tcPr>
            <w:tcW w:w="981" w:type="dxa"/>
          </w:tcPr>
          <w:p w14:paraId="4B6FA601"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mal *, **</w:t>
            </w:r>
          </w:p>
        </w:tc>
        <w:tc>
          <w:tcPr>
            <w:tcW w:w="981" w:type="dxa"/>
          </w:tcPr>
          <w:p w14:paraId="154040DE"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p w14:paraId="5D054995" w14:textId="77777777" w:rsidR="00444BC7"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tc>
        <w:tc>
          <w:tcPr>
            <w:tcW w:w="981" w:type="dxa"/>
          </w:tcPr>
          <w:p w14:paraId="2EE4B72A"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mal*</w:t>
            </w:r>
          </w:p>
        </w:tc>
        <w:tc>
          <w:tcPr>
            <w:tcW w:w="981" w:type="dxa"/>
          </w:tcPr>
          <w:p w14:paraId="17539E87"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p w14:paraId="7DF55377" w14:textId="77777777" w:rsidR="00444BC7"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 xml:space="preserve">Bien** </w:t>
            </w:r>
          </w:p>
        </w:tc>
        <w:tc>
          <w:tcPr>
            <w:tcW w:w="981" w:type="dxa"/>
          </w:tcPr>
          <w:p w14:paraId="479005CC"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p w14:paraId="7B3B4FD4"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Mal**</w:t>
            </w:r>
          </w:p>
        </w:tc>
        <w:tc>
          <w:tcPr>
            <w:tcW w:w="981" w:type="dxa"/>
          </w:tcPr>
          <w:p w14:paraId="2D72675C"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p w14:paraId="18F40B44"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tc>
        <w:tc>
          <w:tcPr>
            <w:tcW w:w="981" w:type="dxa"/>
          </w:tcPr>
          <w:p w14:paraId="6560F72F"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w:t>
            </w:r>
          </w:p>
          <w:p w14:paraId="53F7AADA"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lar*,</w:t>
            </w:r>
          </w:p>
          <w:p w14:paraId="5F6252CC"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w:t>
            </w:r>
          </w:p>
        </w:tc>
        <w:tc>
          <w:tcPr>
            <w:tcW w:w="981" w:type="dxa"/>
          </w:tcPr>
          <w:p w14:paraId="5A0F41A3"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tc>
      </w:tr>
      <w:tr w:rsidR="00043EBE" w:rsidRPr="00F67074" w14:paraId="5E89D37C" w14:textId="77777777" w:rsidTr="00364362">
        <w:tc>
          <w:tcPr>
            <w:tcW w:w="980" w:type="dxa"/>
          </w:tcPr>
          <w:p w14:paraId="78CFD69B" w14:textId="77777777" w:rsidR="00364362" w:rsidRPr="00F67074" w:rsidRDefault="0054555B" w:rsidP="00FA33BE">
            <w:pPr>
              <w:jc w:val="both"/>
              <w:rPr>
                <w:rFonts w:ascii="Times New Roman" w:hAnsi="Times New Roman" w:cs="Times New Roman"/>
                <w:sz w:val="20"/>
                <w:szCs w:val="20"/>
              </w:rPr>
            </w:pPr>
            <w:r w:rsidRPr="00F67074">
              <w:rPr>
                <w:rFonts w:ascii="Times New Roman" w:hAnsi="Times New Roman" w:cs="Times New Roman"/>
                <w:sz w:val="20"/>
                <w:szCs w:val="20"/>
              </w:rPr>
              <w:t>Chile</w:t>
            </w:r>
          </w:p>
        </w:tc>
        <w:tc>
          <w:tcPr>
            <w:tcW w:w="981" w:type="dxa"/>
          </w:tcPr>
          <w:p w14:paraId="586900FA"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Bien, *</w:t>
            </w:r>
          </w:p>
        </w:tc>
        <w:tc>
          <w:tcPr>
            <w:tcW w:w="981" w:type="dxa"/>
          </w:tcPr>
          <w:p w14:paraId="4F575CA6" w14:textId="77777777" w:rsidR="00364362" w:rsidRPr="00F67074" w:rsidRDefault="00F81CE3"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p w14:paraId="658A205F" w14:textId="77777777" w:rsidR="00F81CE3" w:rsidRPr="00F67074" w:rsidRDefault="00F81CE3" w:rsidP="00FA33BE">
            <w:pPr>
              <w:jc w:val="both"/>
              <w:rPr>
                <w:rFonts w:ascii="Times New Roman" w:hAnsi="Times New Roman" w:cs="Times New Roman"/>
                <w:sz w:val="20"/>
                <w:szCs w:val="20"/>
              </w:rPr>
            </w:pPr>
            <w:r w:rsidRPr="00F67074">
              <w:rPr>
                <w:rFonts w:ascii="Times New Roman" w:hAnsi="Times New Roman" w:cs="Times New Roman"/>
                <w:sz w:val="20"/>
                <w:szCs w:val="20"/>
              </w:rPr>
              <w:t>Mal***</w:t>
            </w:r>
          </w:p>
        </w:tc>
        <w:tc>
          <w:tcPr>
            <w:tcW w:w="981" w:type="dxa"/>
          </w:tcPr>
          <w:p w14:paraId="7F08D511"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tc>
        <w:tc>
          <w:tcPr>
            <w:tcW w:w="981" w:type="dxa"/>
          </w:tcPr>
          <w:p w14:paraId="10E2F759" w14:textId="77777777" w:rsidR="00364362"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p w14:paraId="6E37C2B5" w14:textId="77777777" w:rsidR="00444BC7" w:rsidRPr="00F67074" w:rsidRDefault="00444BC7"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tc>
        <w:tc>
          <w:tcPr>
            <w:tcW w:w="981" w:type="dxa"/>
          </w:tcPr>
          <w:p w14:paraId="6C358E7D"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p w14:paraId="5DA8519C"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tc>
        <w:tc>
          <w:tcPr>
            <w:tcW w:w="981" w:type="dxa"/>
          </w:tcPr>
          <w:p w14:paraId="1D4FC5C9"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w:t>
            </w:r>
          </w:p>
          <w:p w14:paraId="18636A04"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lar*</w:t>
            </w:r>
          </w:p>
        </w:tc>
        <w:tc>
          <w:tcPr>
            <w:tcW w:w="981" w:type="dxa"/>
          </w:tcPr>
          <w:p w14:paraId="38E6E58F" w14:textId="77777777" w:rsidR="00364362"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Bien*</w:t>
            </w:r>
          </w:p>
        </w:tc>
        <w:tc>
          <w:tcPr>
            <w:tcW w:w="981" w:type="dxa"/>
          </w:tcPr>
          <w:p w14:paraId="0D016B14"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Regu-lar*,</w:t>
            </w:r>
          </w:p>
          <w:p w14:paraId="0A75A6BA" w14:textId="77777777" w:rsidR="00465D29" w:rsidRPr="00F67074" w:rsidRDefault="00465D29" w:rsidP="00FA33BE">
            <w:pPr>
              <w:jc w:val="both"/>
              <w:rPr>
                <w:rFonts w:ascii="Times New Roman" w:hAnsi="Times New Roman" w:cs="Times New Roman"/>
                <w:sz w:val="20"/>
                <w:szCs w:val="20"/>
              </w:rPr>
            </w:pPr>
            <w:r w:rsidRPr="00F67074">
              <w:rPr>
                <w:rFonts w:ascii="Times New Roman" w:hAnsi="Times New Roman" w:cs="Times New Roman"/>
                <w:sz w:val="20"/>
                <w:szCs w:val="20"/>
              </w:rPr>
              <w:t>***</w:t>
            </w:r>
          </w:p>
        </w:tc>
      </w:tr>
    </w:tbl>
    <w:p w14:paraId="68831270" w14:textId="77777777" w:rsidR="00E1038C" w:rsidRPr="00F67074" w:rsidRDefault="0054555B"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Fuentes: Morlino, 2013</w:t>
      </w:r>
      <w:r w:rsidR="00444BC7" w:rsidRPr="00F67074">
        <w:rPr>
          <w:rFonts w:ascii="Times New Roman" w:hAnsi="Times New Roman" w:cs="Times New Roman"/>
          <w:sz w:val="20"/>
          <w:szCs w:val="20"/>
        </w:rPr>
        <w:t>*, Holzner, 2011**, Ruiz, 2011***</w:t>
      </w:r>
    </w:p>
    <w:p w14:paraId="07673D17" w14:textId="77777777" w:rsidR="00043EBE" w:rsidRPr="00F67074" w:rsidRDefault="00043EBE"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 xml:space="preserve">E.D. Estado de derecho y combate a la corrupción.                                                                                                                                               </w:t>
      </w:r>
    </w:p>
    <w:p w14:paraId="1E9F4C23" w14:textId="77777777" w:rsidR="00043EBE" w:rsidRPr="00F67074" w:rsidRDefault="00043EBE"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P. Participación</w:t>
      </w:r>
    </w:p>
    <w:p w14:paraId="603897B4" w14:textId="77777777" w:rsidR="00043EBE" w:rsidRPr="00F67074" w:rsidRDefault="00043EBE"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R. Responsibidad</w:t>
      </w:r>
    </w:p>
    <w:p w14:paraId="7620CF0C" w14:textId="77777777" w:rsidR="00043EBE" w:rsidRPr="00F67074" w:rsidRDefault="00043EBE"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R.E. Rendición de cuentas electoral.</w:t>
      </w:r>
    </w:p>
    <w:p w14:paraId="63B3E675" w14:textId="77777777" w:rsidR="00043EBE" w:rsidRPr="00F67074" w:rsidRDefault="00043EBE"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R.I. Rendición de cuentas interinstitucional.</w:t>
      </w:r>
    </w:p>
    <w:p w14:paraId="079D1450" w14:textId="77777777" w:rsidR="00043EBE" w:rsidRPr="00F67074" w:rsidRDefault="006A11CC"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C.P. Competencia política</w:t>
      </w:r>
    </w:p>
    <w:p w14:paraId="3020F391" w14:textId="77777777" w:rsidR="006A11CC" w:rsidRPr="00F67074" w:rsidRDefault="00637725"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D. Derechos políticos y civiles</w:t>
      </w:r>
    </w:p>
    <w:p w14:paraId="7B2CC57C" w14:textId="77777777" w:rsidR="006A11CC" w:rsidRPr="00F67074" w:rsidRDefault="006A11CC" w:rsidP="00FA33BE">
      <w:pPr>
        <w:spacing w:line="240" w:lineRule="auto"/>
        <w:jc w:val="both"/>
        <w:rPr>
          <w:rFonts w:ascii="Times New Roman" w:hAnsi="Times New Roman" w:cs="Times New Roman"/>
          <w:sz w:val="20"/>
          <w:szCs w:val="20"/>
        </w:rPr>
      </w:pPr>
      <w:r w:rsidRPr="00F67074">
        <w:rPr>
          <w:rFonts w:ascii="Times New Roman" w:hAnsi="Times New Roman" w:cs="Times New Roman"/>
          <w:sz w:val="20"/>
          <w:szCs w:val="20"/>
        </w:rPr>
        <w:t>I. Igualdad.</w:t>
      </w:r>
    </w:p>
    <w:p w14:paraId="7FA10EA5" w14:textId="77777777" w:rsidR="00043EBE" w:rsidRDefault="00043EBE" w:rsidP="00FA33BE">
      <w:pPr>
        <w:spacing w:line="240" w:lineRule="auto"/>
        <w:rPr>
          <w:rFonts w:ascii="Times New Roman" w:hAnsi="Times New Roman" w:cs="Times New Roman"/>
          <w:sz w:val="24"/>
          <w:szCs w:val="24"/>
        </w:rPr>
      </w:pPr>
      <w:r w:rsidRPr="00F67074">
        <w:rPr>
          <w:rFonts w:ascii="Times New Roman" w:hAnsi="Times New Roman" w:cs="Times New Roman"/>
          <w:sz w:val="20"/>
          <w:szCs w:val="20"/>
        </w:rPr>
        <w:br w:type="page"/>
      </w:r>
    </w:p>
    <w:p w14:paraId="60BBBFA8" w14:textId="77777777" w:rsidR="00637725" w:rsidRDefault="00F71C04"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Entre la</w:t>
      </w:r>
      <w:r w:rsidR="00B4505F">
        <w:rPr>
          <w:rFonts w:ascii="Times New Roman" w:hAnsi="Times New Roman" w:cs="Times New Roman"/>
          <w:sz w:val="24"/>
          <w:szCs w:val="24"/>
        </w:rPr>
        <w:t xml:space="preserve">s dimensiones que se relacionan más </w:t>
      </w:r>
      <w:r>
        <w:rPr>
          <w:rFonts w:ascii="Times New Roman" w:hAnsi="Times New Roman" w:cs="Times New Roman"/>
          <w:sz w:val="24"/>
          <w:szCs w:val="24"/>
        </w:rPr>
        <w:t>con el ejercicio</w:t>
      </w:r>
      <w:r w:rsidR="00B4505F">
        <w:rPr>
          <w:rFonts w:ascii="Times New Roman" w:hAnsi="Times New Roman" w:cs="Times New Roman"/>
          <w:sz w:val="24"/>
          <w:szCs w:val="24"/>
        </w:rPr>
        <w:t xml:space="preserve"> que con el acceso al</w:t>
      </w:r>
      <w:r>
        <w:rPr>
          <w:rFonts w:ascii="Times New Roman" w:hAnsi="Times New Roman" w:cs="Times New Roman"/>
          <w:sz w:val="24"/>
          <w:szCs w:val="24"/>
        </w:rPr>
        <w:t xml:space="preserve"> poder</w:t>
      </w:r>
      <w:r w:rsidR="00B4505F">
        <w:rPr>
          <w:rFonts w:ascii="Times New Roman" w:hAnsi="Times New Roman" w:cs="Times New Roman"/>
          <w:sz w:val="24"/>
          <w:szCs w:val="24"/>
        </w:rPr>
        <w:t xml:space="preserve"> (ver Tabla 1), dest</w:t>
      </w:r>
      <w:r>
        <w:rPr>
          <w:rFonts w:ascii="Times New Roman" w:hAnsi="Times New Roman" w:cs="Times New Roman"/>
          <w:sz w:val="24"/>
          <w:szCs w:val="24"/>
        </w:rPr>
        <w:t xml:space="preserve">aca la diferencia de desempeño en cuanto al </w:t>
      </w:r>
      <w:r w:rsidR="00DB6B98">
        <w:rPr>
          <w:rFonts w:ascii="Times New Roman" w:hAnsi="Times New Roman" w:cs="Times New Roman"/>
          <w:sz w:val="24"/>
          <w:szCs w:val="24"/>
        </w:rPr>
        <w:t>Estado de derecho</w:t>
      </w:r>
      <w:r>
        <w:rPr>
          <w:rFonts w:ascii="Times New Roman" w:hAnsi="Times New Roman" w:cs="Times New Roman"/>
          <w:sz w:val="24"/>
          <w:szCs w:val="24"/>
        </w:rPr>
        <w:t xml:space="preserve">, donde Chile </w:t>
      </w:r>
      <w:r w:rsidR="00DB6B98">
        <w:rPr>
          <w:rFonts w:ascii="Times New Roman" w:hAnsi="Times New Roman" w:cs="Times New Roman"/>
          <w:sz w:val="24"/>
          <w:szCs w:val="24"/>
        </w:rPr>
        <w:t>muestra un</w:t>
      </w:r>
      <w:r>
        <w:rPr>
          <w:rFonts w:ascii="Times New Roman" w:hAnsi="Times New Roman" w:cs="Times New Roman"/>
          <w:sz w:val="24"/>
          <w:szCs w:val="24"/>
        </w:rPr>
        <w:t xml:space="preserve"> buen nivel de calidad (Morlino, 2013) mientras en México vemos lo opuesto </w:t>
      </w:r>
      <w:r w:rsidR="00DB6B98">
        <w:rPr>
          <w:rFonts w:ascii="Times New Roman" w:hAnsi="Times New Roman" w:cs="Times New Roman"/>
          <w:sz w:val="24"/>
          <w:szCs w:val="24"/>
        </w:rPr>
        <w:t xml:space="preserve"> (Morlino, 2013, Holzner, 201</w:t>
      </w:r>
      <w:r w:rsidR="00B4505F">
        <w:rPr>
          <w:rFonts w:ascii="Times New Roman" w:hAnsi="Times New Roman" w:cs="Times New Roman"/>
          <w:sz w:val="24"/>
          <w:szCs w:val="24"/>
        </w:rPr>
        <w:t>1). Adicionalmente, la responsib</w:t>
      </w:r>
      <w:r w:rsidR="00DB6B98">
        <w:rPr>
          <w:rFonts w:ascii="Times New Roman" w:hAnsi="Times New Roman" w:cs="Times New Roman"/>
          <w:sz w:val="24"/>
          <w:szCs w:val="24"/>
        </w:rPr>
        <w:t>idad, dimensión que</w:t>
      </w:r>
      <w:r w:rsidR="00637725">
        <w:rPr>
          <w:rFonts w:ascii="Times New Roman" w:hAnsi="Times New Roman" w:cs="Times New Roman"/>
          <w:sz w:val="24"/>
          <w:szCs w:val="24"/>
        </w:rPr>
        <w:t xml:space="preserve"> según</w:t>
      </w:r>
      <w:r w:rsidR="00DB6B98">
        <w:rPr>
          <w:rFonts w:ascii="Times New Roman" w:hAnsi="Times New Roman" w:cs="Times New Roman"/>
          <w:sz w:val="24"/>
          <w:szCs w:val="24"/>
        </w:rPr>
        <w:t xml:space="preserve"> Morlino (2013) </w:t>
      </w:r>
      <w:r w:rsidR="00637725">
        <w:rPr>
          <w:rFonts w:ascii="Times New Roman" w:hAnsi="Times New Roman" w:cs="Times New Roman"/>
          <w:sz w:val="24"/>
          <w:szCs w:val="24"/>
        </w:rPr>
        <w:t>depende relativamente de la calidad de</w:t>
      </w:r>
      <w:r w:rsidR="00DB6B98">
        <w:rPr>
          <w:rFonts w:ascii="Times New Roman" w:hAnsi="Times New Roman" w:cs="Times New Roman"/>
          <w:sz w:val="24"/>
          <w:szCs w:val="24"/>
        </w:rPr>
        <w:t>l Estado de derecho, también muestra un comportamiento positivo en Chile pero negativo en México.</w:t>
      </w:r>
      <w:r w:rsidR="00637725">
        <w:rPr>
          <w:rFonts w:ascii="Times New Roman" w:hAnsi="Times New Roman" w:cs="Times New Roman"/>
          <w:sz w:val="24"/>
          <w:szCs w:val="24"/>
        </w:rPr>
        <w:t xml:space="preserve"> </w:t>
      </w:r>
      <w:r w:rsidR="00473AC2">
        <w:rPr>
          <w:rFonts w:ascii="Times New Roman" w:hAnsi="Times New Roman" w:cs="Times New Roman"/>
          <w:sz w:val="24"/>
          <w:szCs w:val="24"/>
        </w:rPr>
        <w:t xml:space="preserve">En cuanto a la </w:t>
      </w:r>
      <w:r w:rsidR="00637725">
        <w:rPr>
          <w:rFonts w:ascii="Times New Roman" w:hAnsi="Times New Roman" w:cs="Times New Roman"/>
          <w:sz w:val="24"/>
          <w:szCs w:val="24"/>
        </w:rPr>
        <w:t>dimensión de los derechos políticos y civiles</w:t>
      </w:r>
      <w:r w:rsidR="00473AC2">
        <w:rPr>
          <w:rFonts w:ascii="Times New Roman" w:hAnsi="Times New Roman" w:cs="Times New Roman"/>
          <w:sz w:val="24"/>
          <w:szCs w:val="24"/>
        </w:rPr>
        <w:t>, que</w:t>
      </w:r>
      <w:r w:rsidR="00637725">
        <w:rPr>
          <w:rFonts w:ascii="Times New Roman" w:hAnsi="Times New Roman" w:cs="Times New Roman"/>
          <w:sz w:val="24"/>
          <w:szCs w:val="24"/>
        </w:rPr>
        <w:t xml:space="preserve"> estaría relacionad</w:t>
      </w:r>
      <w:r w:rsidR="00473AC2">
        <w:rPr>
          <w:rFonts w:ascii="Times New Roman" w:hAnsi="Times New Roman" w:cs="Times New Roman"/>
          <w:sz w:val="24"/>
          <w:szCs w:val="24"/>
        </w:rPr>
        <w:t>a con el Estado de derecho</w:t>
      </w:r>
      <w:r w:rsidR="00573F5A">
        <w:rPr>
          <w:rFonts w:ascii="Times New Roman" w:hAnsi="Times New Roman" w:cs="Times New Roman"/>
          <w:sz w:val="24"/>
          <w:szCs w:val="24"/>
        </w:rPr>
        <w:t xml:space="preserve"> aunque</w:t>
      </w:r>
      <w:r w:rsidR="00B4505F">
        <w:rPr>
          <w:rFonts w:ascii="Times New Roman" w:hAnsi="Times New Roman" w:cs="Times New Roman"/>
          <w:sz w:val="24"/>
          <w:szCs w:val="24"/>
        </w:rPr>
        <w:t xml:space="preserve"> en este caso evaluado desde el punto de vista </w:t>
      </w:r>
      <w:r w:rsidR="00637725">
        <w:rPr>
          <w:rFonts w:ascii="Times New Roman" w:hAnsi="Times New Roman" w:cs="Times New Roman"/>
          <w:sz w:val="24"/>
          <w:szCs w:val="24"/>
        </w:rPr>
        <w:t xml:space="preserve">del ciudadano, </w:t>
      </w:r>
      <w:r w:rsidR="00473AC2">
        <w:rPr>
          <w:rFonts w:ascii="Times New Roman" w:hAnsi="Times New Roman" w:cs="Times New Roman"/>
          <w:sz w:val="24"/>
          <w:szCs w:val="24"/>
        </w:rPr>
        <w:t>se observa</w:t>
      </w:r>
      <w:r w:rsidR="00637725">
        <w:rPr>
          <w:rFonts w:ascii="Times New Roman" w:hAnsi="Times New Roman" w:cs="Times New Roman"/>
          <w:sz w:val="24"/>
          <w:szCs w:val="24"/>
        </w:rPr>
        <w:t xml:space="preserve"> también un desempeño opuesto en los dos casos observados. Asimismo, la rendición de cuentas interinstitucional muestra un comportamiento relativamente de mejor calidad en Chile que en México. </w:t>
      </w:r>
      <w:r w:rsidR="00DB6B98">
        <w:rPr>
          <w:rFonts w:ascii="Times New Roman" w:hAnsi="Times New Roman" w:cs="Times New Roman"/>
          <w:sz w:val="24"/>
          <w:szCs w:val="24"/>
        </w:rPr>
        <w:t xml:space="preserve">Sin embargo, si consideramos dimensiones como la rendición de cuentas electoral y la competencia política, </w:t>
      </w:r>
      <w:r w:rsidR="00573F5A">
        <w:rPr>
          <w:rFonts w:ascii="Times New Roman" w:hAnsi="Times New Roman" w:cs="Times New Roman"/>
          <w:sz w:val="24"/>
          <w:szCs w:val="24"/>
        </w:rPr>
        <w:t>relacionadas más bien con el acceso y no con el ejercicio del poder (Mazzuca</w:t>
      </w:r>
      <w:r w:rsidR="00473AC2">
        <w:rPr>
          <w:rFonts w:ascii="Times New Roman" w:hAnsi="Times New Roman" w:cs="Times New Roman"/>
          <w:sz w:val="24"/>
          <w:szCs w:val="24"/>
        </w:rPr>
        <w:t>, 2010</w:t>
      </w:r>
      <w:r w:rsidR="00573F5A">
        <w:rPr>
          <w:rFonts w:ascii="Times New Roman" w:hAnsi="Times New Roman" w:cs="Times New Roman"/>
          <w:sz w:val="24"/>
          <w:szCs w:val="24"/>
        </w:rPr>
        <w:t xml:space="preserve">) </w:t>
      </w:r>
      <w:r w:rsidR="00DB6B98">
        <w:rPr>
          <w:rFonts w:ascii="Times New Roman" w:hAnsi="Times New Roman" w:cs="Times New Roman"/>
          <w:sz w:val="24"/>
          <w:szCs w:val="24"/>
        </w:rPr>
        <w:t>ambos casos muestran un desempeño aceptable</w:t>
      </w:r>
      <w:r w:rsidR="00473AC2">
        <w:rPr>
          <w:rFonts w:ascii="Times New Roman" w:hAnsi="Times New Roman" w:cs="Times New Roman"/>
          <w:sz w:val="24"/>
          <w:szCs w:val="24"/>
        </w:rPr>
        <w:t xml:space="preserve"> pero una ci</w:t>
      </w:r>
      <w:r w:rsidR="00A30ACC">
        <w:rPr>
          <w:rFonts w:ascii="Times New Roman" w:hAnsi="Times New Roman" w:cs="Times New Roman"/>
          <w:sz w:val="24"/>
          <w:szCs w:val="24"/>
        </w:rPr>
        <w:t xml:space="preserve">erta superioridad </w:t>
      </w:r>
      <w:r w:rsidR="00473AC2">
        <w:rPr>
          <w:rFonts w:ascii="Times New Roman" w:hAnsi="Times New Roman" w:cs="Times New Roman"/>
          <w:sz w:val="24"/>
          <w:szCs w:val="24"/>
        </w:rPr>
        <w:t>para el caso de México, particularmente en lo que se refiere a la participación y la competencia política. Finalmente</w:t>
      </w:r>
      <w:r w:rsidR="00637725">
        <w:rPr>
          <w:rFonts w:ascii="Times New Roman" w:hAnsi="Times New Roman" w:cs="Times New Roman"/>
          <w:sz w:val="24"/>
          <w:szCs w:val="24"/>
        </w:rPr>
        <w:t>,</w:t>
      </w:r>
      <w:r w:rsidR="00473AC2">
        <w:rPr>
          <w:rFonts w:ascii="Times New Roman" w:hAnsi="Times New Roman" w:cs="Times New Roman"/>
          <w:sz w:val="24"/>
          <w:szCs w:val="24"/>
        </w:rPr>
        <w:t xml:space="preserve"> si consideramos una dimensión no de naturaleza procedimental sino </w:t>
      </w:r>
      <w:r w:rsidR="00935679">
        <w:rPr>
          <w:rFonts w:ascii="Times New Roman" w:hAnsi="Times New Roman" w:cs="Times New Roman"/>
          <w:sz w:val="24"/>
          <w:szCs w:val="24"/>
        </w:rPr>
        <w:t>más bien relacionada con el contenido de las políticas y acciones de gobierno, como es la dimensión de la</w:t>
      </w:r>
      <w:r w:rsidR="00637725">
        <w:rPr>
          <w:rFonts w:ascii="Times New Roman" w:hAnsi="Times New Roman" w:cs="Times New Roman"/>
          <w:sz w:val="24"/>
          <w:szCs w:val="24"/>
        </w:rPr>
        <w:t xml:space="preserve"> igualdad,</w:t>
      </w:r>
      <w:r w:rsidR="00935679">
        <w:rPr>
          <w:rFonts w:ascii="Times New Roman" w:hAnsi="Times New Roman" w:cs="Times New Roman"/>
          <w:sz w:val="24"/>
          <w:szCs w:val="24"/>
        </w:rPr>
        <w:t xml:space="preserve"> podemos ver que</w:t>
      </w:r>
      <w:r w:rsidR="00637725">
        <w:rPr>
          <w:rFonts w:ascii="Times New Roman" w:hAnsi="Times New Roman" w:cs="Times New Roman"/>
          <w:sz w:val="24"/>
          <w:szCs w:val="24"/>
        </w:rPr>
        <w:t xml:space="preserve"> los dos países muestran problemas semejantes.</w:t>
      </w:r>
    </w:p>
    <w:p w14:paraId="1DB489A4" w14:textId="77777777" w:rsidR="00A01EF8" w:rsidRPr="00043766" w:rsidRDefault="00DB6B98"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Recurriendo al </w:t>
      </w:r>
      <w:r w:rsidR="00A01EF8" w:rsidRPr="00043766">
        <w:rPr>
          <w:rFonts w:ascii="Times New Roman" w:hAnsi="Times New Roman" w:cs="Times New Roman"/>
          <w:sz w:val="24"/>
          <w:szCs w:val="24"/>
        </w:rPr>
        <w:t>modelo de Levine y Molina (2011)</w:t>
      </w:r>
      <w:r>
        <w:rPr>
          <w:rFonts w:ascii="Times New Roman" w:hAnsi="Times New Roman" w:cs="Times New Roman"/>
          <w:sz w:val="24"/>
          <w:szCs w:val="24"/>
        </w:rPr>
        <w:t xml:space="preserve"> para el estudio de la calidad de la democracia, Holzner (2011)</w:t>
      </w:r>
      <w:r w:rsidR="00A01EF8" w:rsidRPr="00043766">
        <w:rPr>
          <w:rFonts w:ascii="Times New Roman" w:hAnsi="Times New Roman" w:cs="Times New Roman"/>
          <w:sz w:val="24"/>
          <w:szCs w:val="24"/>
        </w:rPr>
        <w:t xml:space="preserve"> considera que </w:t>
      </w:r>
      <w:r>
        <w:rPr>
          <w:rFonts w:ascii="Times New Roman" w:hAnsi="Times New Roman" w:cs="Times New Roman"/>
          <w:sz w:val="24"/>
          <w:szCs w:val="24"/>
        </w:rPr>
        <w:t>en el caso mexicano</w:t>
      </w:r>
      <w:r w:rsidR="00C32102">
        <w:rPr>
          <w:rFonts w:ascii="Times New Roman" w:hAnsi="Times New Roman" w:cs="Times New Roman"/>
          <w:sz w:val="24"/>
          <w:szCs w:val="24"/>
        </w:rPr>
        <w:t>, pese a que</w:t>
      </w:r>
      <w:r w:rsidR="00A01EF8" w:rsidRPr="00043766">
        <w:rPr>
          <w:rFonts w:ascii="Times New Roman" w:hAnsi="Times New Roman" w:cs="Times New Roman"/>
          <w:sz w:val="24"/>
          <w:szCs w:val="24"/>
        </w:rPr>
        <w:t xml:space="preserve"> la transición y la consolidación han sido relativamente exitosas, la calidad de la democracia </w:t>
      </w:r>
      <w:r w:rsidR="00A34159">
        <w:rPr>
          <w:rFonts w:ascii="Times New Roman" w:hAnsi="Times New Roman" w:cs="Times New Roman"/>
          <w:sz w:val="24"/>
          <w:szCs w:val="24"/>
        </w:rPr>
        <w:t>es baja</w:t>
      </w:r>
      <w:r w:rsidR="00935679">
        <w:rPr>
          <w:rFonts w:ascii="Times New Roman" w:hAnsi="Times New Roman" w:cs="Times New Roman"/>
          <w:sz w:val="24"/>
          <w:szCs w:val="24"/>
        </w:rPr>
        <w:t xml:space="preserve"> debido a ciertas particularidades de su transición</w:t>
      </w:r>
      <w:r w:rsidR="00A34159">
        <w:rPr>
          <w:rFonts w:ascii="Times New Roman" w:hAnsi="Times New Roman" w:cs="Times New Roman"/>
          <w:sz w:val="24"/>
          <w:szCs w:val="24"/>
        </w:rPr>
        <w:t xml:space="preserve">. Dicho </w:t>
      </w:r>
      <w:r w:rsidR="00A01EF8" w:rsidRPr="00043766">
        <w:rPr>
          <w:rFonts w:ascii="Times New Roman" w:hAnsi="Times New Roman" w:cs="Times New Roman"/>
          <w:sz w:val="24"/>
          <w:szCs w:val="24"/>
        </w:rPr>
        <w:t>estudio distingue</w:t>
      </w:r>
      <w:r w:rsidR="00637725">
        <w:rPr>
          <w:rFonts w:ascii="Times New Roman" w:hAnsi="Times New Roman" w:cs="Times New Roman"/>
          <w:sz w:val="24"/>
          <w:szCs w:val="24"/>
        </w:rPr>
        <w:t>,</w:t>
      </w:r>
      <w:r w:rsidR="00935679">
        <w:rPr>
          <w:rFonts w:ascii="Times New Roman" w:hAnsi="Times New Roman" w:cs="Times New Roman"/>
          <w:sz w:val="24"/>
          <w:szCs w:val="24"/>
        </w:rPr>
        <w:t xml:space="preserve"> un tanto en la línea de </w:t>
      </w:r>
      <w:r w:rsidR="00637725">
        <w:rPr>
          <w:rFonts w:ascii="Times New Roman" w:hAnsi="Times New Roman" w:cs="Times New Roman"/>
          <w:sz w:val="24"/>
          <w:szCs w:val="24"/>
        </w:rPr>
        <w:t>Mazzuca (</w:t>
      </w:r>
      <w:r w:rsidR="00935679">
        <w:rPr>
          <w:rFonts w:ascii="Times New Roman" w:hAnsi="Times New Roman" w:cs="Times New Roman"/>
          <w:sz w:val="24"/>
          <w:szCs w:val="24"/>
        </w:rPr>
        <w:t>2010</w:t>
      </w:r>
      <w:r w:rsidR="00637725">
        <w:rPr>
          <w:rFonts w:ascii="Times New Roman" w:hAnsi="Times New Roman" w:cs="Times New Roman"/>
          <w:sz w:val="24"/>
          <w:szCs w:val="24"/>
        </w:rPr>
        <w:t>),</w:t>
      </w:r>
      <w:r w:rsidR="00A01EF8" w:rsidRPr="00043766">
        <w:rPr>
          <w:rFonts w:ascii="Times New Roman" w:hAnsi="Times New Roman" w:cs="Times New Roman"/>
          <w:sz w:val="24"/>
          <w:szCs w:val="24"/>
        </w:rPr>
        <w:t xml:space="preserve"> entre transiciones que cambian las reglas de quién gobierna</w:t>
      </w:r>
      <w:r w:rsidR="00935679">
        <w:rPr>
          <w:rFonts w:ascii="Times New Roman" w:hAnsi="Times New Roman" w:cs="Times New Roman"/>
          <w:sz w:val="24"/>
          <w:szCs w:val="24"/>
        </w:rPr>
        <w:t>, es decir las reglas del acceso</w:t>
      </w:r>
      <w:r w:rsidR="00A01EF8" w:rsidRPr="00043766">
        <w:rPr>
          <w:rFonts w:ascii="Times New Roman" w:hAnsi="Times New Roman" w:cs="Times New Roman"/>
          <w:sz w:val="24"/>
          <w:szCs w:val="24"/>
        </w:rPr>
        <w:t xml:space="preserve"> </w:t>
      </w:r>
      <w:r w:rsidR="00935679">
        <w:rPr>
          <w:rFonts w:ascii="Times New Roman" w:hAnsi="Times New Roman" w:cs="Times New Roman"/>
          <w:sz w:val="24"/>
          <w:szCs w:val="24"/>
        </w:rPr>
        <w:t xml:space="preserve">al poder, </w:t>
      </w:r>
      <w:r w:rsidR="00A01EF8" w:rsidRPr="00043766">
        <w:rPr>
          <w:rFonts w:ascii="Times New Roman" w:hAnsi="Times New Roman" w:cs="Times New Roman"/>
          <w:sz w:val="24"/>
          <w:szCs w:val="24"/>
        </w:rPr>
        <w:t>y transiciones que cambian las relaciones  entre las instituciones del Estado y los grupos sociales, es decir transiciones hacia la rendición de cuentas</w:t>
      </w:r>
      <w:r w:rsidR="00935679">
        <w:rPr>
          <w:rFonts w:ascii="Times New Roman" w:hAnsi="Times New Roman" w:cs="Times New Roman"/>
          <w:sz w:val="24"/>
          <w:szCs w:val="24"/>
        </w:rPr>
        <w:t>, o transiciones de las formas del ejercicio del poder</w:t>
      </w:r>
      <w:r w:rsidR="00A01EF8" w:rsidRPr="00043766">
        <w:rPr>
          <w:rFonts w:ascii="Times New Roman" w:hAnsi="Times New Roman" w:cs="Times New Roman"/>
          <w:sz w:val="24"/>
          <w:szCs w:val="24"/>
        </w:rPr>
        <w:t>. Sin lo segundo, las nuevas democracias tienen un vacío entre lo que se aspira a h</w:t>
      </w:r>
      <w:r w:rsidR="00935679">
        <w:rPr>
          <w:rFonts w:ascii="Times New Roman" w:hAnsi="Times New Roman" w:cs="Times New Roman"/>
          <w:sz w:val="24"/>
          <w:szCs w:val="24"/>
        </w:rPr>
        <w:t xml:space="preserve">acer y lo que realmente se hace. Tal sería el caso de México, según </w:t>
      </w:r>
      <w:r w:rsidR="00A01EF8" w:rsidRPr="00043766">
        <w:rPr>
          <w:rFonts w:ascii="Times New Roman" w:hAnsi="Times New Roman" w:cs="Times New Roman"/>
          <w:sz w:val="24"/>
          <w:szCs w:val="24"/>
        </w:rPr>
        <w:t xml:space="preserve"> </w:t>
      </w:r>
      <w:r w:rsidR="00935679">
        <w:rPr>
          <w:rFonts w:ascii="Times New Roman" w:hAnsi="Times New Roman" w:cs="Times New Roman"/>
          <w:sz w:val="24"/>
          <w:szCs w:val="24"/>
        </w:rPr>
        <w:t>Holzner (2011)</w:t>
      </w:r>
      <w:r w:rsidR="00A01EF8" w:rsidRPr="00043766">
        <w:rPr>
          <w:rFonts w:ascii="Times New Roman" w:hAnsi="Times New Roman" w:cs="Times New Roman"/>
          <w:sz w:val="24"/>
          <w:szCs w:val="24"/>
        </w:rPr>
        <w:t>. Así, mientras que entre las fortalezas de la democra</w:t>
      </w:r>
      <w:r w:rsidR="00A34159">
        <w:rPr>
          <w:rFonts w:ascii="Times New Roman" w:hAnsi="Times New Roman" w:cs="Times New Roman"/>
          <w:sz w:val="24"/>
          <w:szCs w:val="24"/>
        </w:rPr>
        <w:t>ci</w:t>
      </w:r>
      <w:r w:rsidR="00935679">
        <w:rPr>
          <w:rFonts w:ascii="Times New Roman" w:hAnsi="Times New Roman" w:cs="Times New Roman"/>
          <w:sz w:val="24"/>
          <w:szCs w:val="24"/>
        </w:rPr>
        <w:t xml:space="preserve">a mexicana </w:t>
      </w:r>
      <w:r w:rsidR="00A01EF8" w:rsidRPr="00043766">
        <w:rPr>
          <w:rFonts w:ascii="Times New Roman" w:hAnsi="Times New Roman" w:cs="Times New Roman"/>
          <w:sz w:val="24"/>
          <w:szCs w:val="24"/>
        </w:rPr>
        <w:t>se encuentran</w:t>
      </w:r>
      <w:r w:rsidR="00935679">
        <w:rPr>
          <w:rFonts w:ascii="Times New Roman" w:hAnsi="Times New Roman" w:cs="Times New Roman"/>
          <w:sz w:val="24"/>
          <w:szCs w:val="24"/>
        </w:rPr>
        <w:t xml:space="preserve"> sobre todo</w:t>
      </w:r>
      <w:r w:rsidR="00A01EF8" w:rsidRPr="00043766">
        <w:rPr>
          <w:rFonts w:ascii="Times New Roman" w:hAnsi="Times New Roman" w:cs="Times New Roman"/>
          <w:sz w:val="24"/>
          <w:szCs w:val="24"/>
        </w:rPr>
        <w:t xml:space="preserve"> las elecciones libres y justas, la libertad de expresión y aso</w:t>
      </w:r>
      <w:r w:rsidR="00935679">
        <w:rPr>
          <w:rFonts w:ascii="Times New Roman" w:hAnsi="Times New Roman" w:cs="Times New Roman"/>
          <w:sz w:val="24"/>
          <w:szCs w:val="24"/>
        </w:rPr>
        <w:t>ciación y</w:t>
      </w:r>
      <w:r w:rsidR="00A01EF8" w:rsidRPr="00043766">
        <w:rPr>
          <w:rFonts w:ascii="Times New Roman" w:hAnsi="Times New Roman" w:cs="Times New Roman"/>
          <w:sz w:val="24"/>
          <w:szCs w:val="24"/>
        </w:rPr>
        <w:t xml:space="preserve"> la igualdad de los ciudadanos para participar en procesos políticos, </w:t>
      </w:r>
      <w:r w:rsidR="00935679">
        <w:rPr>
          <w:rFonts w:ascii="Times New Roman" w:hAnsi="Times New Roman" w:cs="Times New Roman"/>
          <w:sz w:val="24"/>
          <w:szCs w:val="24"/>
        </w:rPr>
        <w:t>sus</w:t>
      </w:r>
      <w:r w:rsidR="00A01EF8" w:rsidRPr="00043766">
        <w:rPr>
          <w:rFonts w:ascii="Times New Roman" w:hAnsi="Times New Roman" w:cs="Times New Roman"/>
          <w:sz w:val="24"/>
          <w:szCs w:val="24"/>
        </w:rPr>
        <w:t xml:space="preserve"> puntos problemáticos están en una suerte de debilidad institucional, o, en otras palabras, la forma en que funciona “en la práctica” el sistema político,</w:t>
      </w:r>
      <w:r w:rsidR="00935679">
        <w:rPr>
          <w:rFonts w:ascii="Times New Roman" w:hAnsi="Times New Roman" w:cs="Times New Roman"/>
          <w:sz w:val="24"/>
          <w:szCs w:val="24"/>
        </w:rPr>
        <w:t xml:space="preserve"> es decir,</w:t>
      </w:r>
      <w:r w:rsidR="00A01EF8" w:rsidRPr="00043766">
        <w:rPr>
          <w:rFonts w:ascii="Times New Roman" w:hAnsi="Times New Roman" w:cs="Times New Roman"/>
          <w:sz w:val="24"/>
          <w:szCs w:val="24"/>
        </w:rPr>
        <w:t xml:space="preserve"> con un bajo Estado de derecho, baja protección de derechos civiles y políticos y un bajo combate a la corrupción, entre otros problemas</w:t>
      </w:r>
      <w:r w:rsidR="000C2342">
        <w:rPr>
          <w:rFonts w:ascii="Times New Roman" w:hAnsi="Times New Roman" w:cs="Times New Roman"/>
          <w:sz w:val="24"/>
          <w:szCs w:val="24"/>
        </w:rPr>
        <w:t xml:space="preserve"> (Holzner, 2011)</w:t>
      </w:r>
      <w:r w:rsidR="00A01EF8" w:rsidRPr="00043766">
        <w:rPr>
          <w:rFonts w:ascii="Times New Roman" w:hAnsi="Times New Roman" w:cs="Times New Roman"/>
          <w:sz w:val="24"/>
          <w:szCs w:val="24"/>
        </w:rPr>
        <w:t xml:space="preserve">. </w:t>
      </w:r>
    </w:p>
    <w:p w14:paraId="32112ADA" w14:textId="77777777" w:rsidR="00835146" w:rsidRDefault="0083514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Además de los </w:t>
      </w:r>
      <w:r w:rsidR="00A34159">
        <w:rPr>
          <w:rFonts w:ascii="Times New Roman" w:hAnsi="Times New Roman" w:cs="Times New Roman"/>
          <w:sz w:val="24"/>
          <w:szCs w:val="24"/>
        </w:rPr>
        <w:t>estudios</w:t>
      </w:r>
      <w:r w:rsidR="000C2342">
        <w:rPr>
          <w:rFonts w:ascii="Times New Roman" w:hAnsi="Times New Roman" w:cs="Times New Roman"/>
          <w:sz w:val="24"/>
          <w:szCs w:val="24"/>
        </w:rPr>
        <w:t xml:space="preserve"> sobre la calidad de</w:t>
      </w:r>
      <w:r w:rsidR="00A34159">
        <w:rPr>
          <w:rFonts w:ascii="Times New Roman" w:hAnsi="Times New Roman" w:cs="Times New Roman"/>
          <w:sz w:val="24"/>
          <w:szCs w:val="24"/>
        </w:rPr>
        <w:t xml:space="preserve"> la democracia</w:t>
      </w:r>
      <w:r>
        <w:rPr>
          <w:rFonts w:ascii="Times New Roman" w:hAnsi="Times New Roman" w:cs="Times New Roman"/>
          <w:sz w:val="24"/>
          <w:szCs w:val="24"/>
        </w:rPr>
        <w:t xml:space="preserve">, otras fuentes </w:t>
      </w:r>
      <w:r w:rsidR="000C2342">
        <w:rPr>
          <w:rFonts w:ascii="Times New Roman" w:hAnsi="Times New Roman" w:cs="Times New Roman"/>
          <w:sz w:val="24"/>
          <w:szCs w:val="24"/>
        </w:rPr>
        <w:t xml:space="preserve">confirman </w:t>
      </w:r>
      <w:r>
        <w:rPr>
          <w:rFonts w:ascii="Times New Roman" w:hAnsi="Times New Roman" w:cs="Times New Roman"/>
          <w:sz w:val="24"/>
          <w:szCs w:val="24"/>
        </w:rPr>
        <w:t>es</w:t>
      </w:r>
      <w:r w:rsidR="00A34159">
        <w:rPr>
          <w:rFonts w:ascii="Times New Roman" w:hAnsi="Times New Roman" w:cs="Times New Roman"/>
          <w:sz w:val="24"/>
          <w:szCs w:val="24"/>
        </w:rPr>
        <w:t xml:space="preserve">a </w:t>
      </w:r>
      <w:r>
        <w:rPr>
          <w:rFonts w:ascii="Times New Roman" w:hAnsi="Times New Roman" w:cs="Times New Roman"/>
          <w:sz w:val="24"/>
          <w:szCs w:val="24"/>
        </w:rPr>
        <w:t>asimetría entre México y Chile en</w:t>
      </w:r>
      <w:r w:rsidR="000C2342">
        <w:rPr>
          <w:rFonts w:ascii="Times New Roman" w:hAnsi="Times New Roman" w:cs="Times New Roman"/>
          <w:sz w:val="24"/>
          <w:szCs w:val="24"/>
        </w:rPr>
        <w:t xml:space="preserve"> cuanto a su desempeño institucional en las materias mencionadas. </w:t>
      </w:r>
      <w:r w:rsidR="00F67074">
        <w:rPr>
          <w:rFonts w:ascii="Times New Roman" w:hAnsi="Times New Roman" w:cs="Times New Roman"/>
          <w:sz w:val="24"/>
          <w:szCs w:val="24"/>
        </w:rPr>
        <w:t>Los indicadores de AGI (Tabla 2) muestran que</w:t>
      </w:r>
      <w:r w:rsidR="00573F5A">
        <w:rPr>
          <w:rFonts w:ascii="Times New Roman" w:hAnsi="Times New Roman" w:cs="Times New Roman"/>
          <w:sz w:val="24"/>
          <w:szCs w:val="24"/>
        </w:rPr>
        <w:t>,</w:t>
      </w:r>
      <w:r w:rsidR="00F67074">
        <w:rPr>
          <w:rFonts w:ascii="Times New Roman" w:hAnsi="Times New Roman" w:cs="Times New Roman"/>
          <w:sz w:val="24"/>
          <w:szCs w:val="24"/>
        </w:rPr>
        <w:t xml:space="preserve"> durante los últimos </w:t>
      </w:r>
      <w:r w:rsidR="0095542D">
        <w:rPr>
          <w:rFonts w:ascii="Times New Roman" w:hAnsi="Times New Roman" w:cs="Times New Roman"/>
          <w:sz w:val="24"/>
          <w:szCs w:val="24"/>
        </w:rPr>
        <w:t>años, mientras que Chile tuvo</w:t>
      </w:r>
      <w:r w:rsidR="00F67074">
        <w:rPr>
          <w:rFonts w:ascii="Times New Roman" w:hAnsi="Times New Roman" w:cs="Times New Roman"/>
          <w:sz w:val="24"/>
          <w:szCs w:val="24"/>
        </w:rPr>
        <w:t xml:space="preserve"> un desempeño que podría consideras</w:t>
      </w:r>
      <w:r w:rsidR="000C2342">
        <w:rPr>
          <w:rFonts w:ascii="Times New Roman" w:hAnsi="Times New Roman" w:cs="Times New Roman"/>
          <w:sz w:val="24"/>
          <w:szCs w:val="24"/>
        </w:rPr>
        <w:t>e muy bueno en Estado de derecho,</w:t>
      </w:r>
      <w:r w:rsidR="00F67074">
        <w:rPr>
          <w:rFonts w:ascii="Times New Roman" w:hAnsi="Times New Roman" w:cs="Times New Roman"/>
          <w:sz w:val="24"/>
          <w:szCs w:val="24"/>
        </w:rPr>
        <w:t xml:space="preserve"> México tuvo un comportamiento d</w:t>
      </w:r>
      <w:r w:rsidR="000C2342">
        <w:rPr>
          <w:rFonts w:ascii="Times New Roman" w:hAnsi="Times New Roman" w:cs="Times New Roman"/>
          <w:sz w:val="24"/>
          <w:szCs w:val="24"/>
        </w:rPr>
        <w:t>eficiente. También se observa una</w:t>
      </w:r>
      <w:r w:rsidR="00F67074">
        <w:rPr>
          <w:rFonts w:ascii="Times New Roman" w:hAnsi="Times New Roman" w:cs="Times New Roman"/>
          <w:sz w:val="24"/>
          <w:szCs w:val="24"/>
        </w:rPr>
        <w:t xml:space="preserve"> diferencia</w:t>
      </w:r>
      <w:r w:rsidR="000C2342">
        <w:rPr>
          <w:rFonts w:ascii="Times New Roman" w:hAnsi="Times New Roman" w:cs="Times New Roman"/>
          <w:sz w:val="24"/>
          <w:szCs w:val="24"/>
        </w:rPr>
        <w:t xml:space="preserve"> en el mismo sentido</w:t>
      </w:r>
      <w:r w:rsidR="00F67074">
        <w:rPr>
          <w:rFonts w:ascii="Times New Roman" w:hAnsi="Times New Roman" w:cs="Times New Roman"/>
          <w:sz w:val="24"/>
          <w:szCs w:val="24"/>
        </w:rPr>
        <w:t xml:space="preserve"> en cuanto al papel del poder judicial </w:t>
      </w:r>
      <w:r w:rsidR="000C2342">
        <w:rPr>
          <w:rFonts w:ascii="Times New Roman" w:hAnsi="Times New Roman" w:cs="Times New Roman"/>
          <w:sz w:val="24"/>
          <w:szCs w:val="24"/>
        </w:rPr>
        <w:t xml:space="preserve">y </w:t>
      </w:r>
      <w:r w:rsidR="00F67074">
        <w:rPr>
          <w:rFonts w:ascii="Times New Roman" w:hAnsi="Times New Roman" w:cs="Times New Roman"/>
          <w:sz w:val="24"/>
          <w:szCs w:val="24"/>
        </w:rPr>
        <w:t>su capacidad para limitar al ejecutivo</w:t>
      </w:r>
      <w:r w:rsidR="000C2342">
        <w:rPr>
          <w:rFonts w:ascii="Times New Roman" w:hAnsi="Times New Roman" w:cs="Times New Roman"/>
          <w:sz w:val="24"/>
          <w:szCs w:val="24"/>
        </w:rPr>
        <w:t>. Pero</w:t>
      </w:r>
      <w:r w:rsidR="0058228F">
        <w:rPr>
          <w:rFonts w:ascii="Times New Roman" w:hAnsi="Times New Roman" w:cs="Times New Roman"/>
          <w:sz w:val="24"/>
          <w:szCs w:val="24"/>
        </w:rPr>
        <w:t>,</w:t>
      </w:r>
      <w:r w:rsidR="000C2342">
        <w:rPr>
          <w:rFonts w:ascii="Times New Roman" w:hAnsi="Times New Roman" w:cs="Times New Roman"/>
          <w:sz w:val="24"/>
          <w:szCs w:val="24"/>
        </w:rPr>
        <w:t xml:space="preserve"> sobre todo, en lo que se refiere a la implementación de políticas anticorrupción</w:t>
      </w:r>
      <w:r w:rsidR="0058228F">
        <w:rPr>
          <w:rFonts w:ascii="Times New Roman" w:hAnsi="Times New Roman" w:cs="Times New Roman"/>
          <w:sz w:val="24"/>
          <w:szCs w:val="24"/>
        </w:rPr>
        <w:t>,</w:t>
      </w:r>
      <w:r w:rsidR="000C2342">
        <w:rPr>
          <w:rFonts w:ascii="Times New Roman" w:hAnsi="Times New Roman" w:cs="Times New Roman"/>
          <w:sz w:val="24"/>
          <w:szCs w:val="24"/>
        </w:rPr>
        <w:t xml:space="preserve"> la diferencia se podría considerar </w:t>
      </w:r>
      <w:r w:rsidR="00E830D4">
        <w:rPr>
          <w:rFonts w:ascii="Times New Roman" w:hAnsi="Times New Roman" w:cs="Times New Roman"/>
          <w:sz w:val="24"/>
          <w:szCs w:val="24"/>
        </w:rPr>
        <w:t>dramá</w:t>
      </w:r>
      <w:r w:rsidR="000C2342">
        <w:rPr>
          <w:rFonts w:ascii="Times New Roman" w:hAnsi="Times New Roman" w:cs="Times New Roman"/>
          <w:sz w:val="24"/>
          <w:szCs w:val="24"/>
        </w:rPr>
        <w:t>tica.</w:t>
      </w:r>
    </w:p>
    <w:p w14:paraId="57A5B19B" w14:textId="77777777" w:rsidR="00FA33BE" w:rsidRDefault="00FA33BE" w:rsidP="00FA33BE">
      <w:pPr>
        <w:spacing w:line="240" w:lineRule="auto"/>
        <w:jc w:val="both"/>
        <w:rPr>
          <w:rFonts w:ascii="Times New Roman" w:hAnsi="Times New Roman" w:cs="Times New Roman"/>
          <w:sz w:val="24"/>
          <w:szCs w:val="24"/>
        </w:rPr>
      </w:pPr>
    </w:p>
    <w:p w14:paraId="0A9B5AEF" w14:textId="77777777" w:rsidR="00FA33BE" w:rsidRDefault="00FA33BE" w:rsidP="00FA33BE">
      <w:pPr>
        <w:spacing w:line="240" w:lineRule="auto"/>
        <w:jc w:val="both"/>
        <w:rPr>
          <w:rFonts w:ascii="Times New Roman" w:hAnsi="Times New Roman" w:cs="Times New Roman"/>
          <w:sz w:val="24"/>
          <w:szCs w:val="24"/>
        </w:rPr>
      </w:pPr>
    </w:p>
    <w:p w14:paraId="04FC2B37" w14:textId="77777777" w:rsidR="007A5EAD" w:rsidRPr="00043766" w:rsidRDefault="0083514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Tabla 2. Estado de derecho y otros indicadores de desempeño, México y Chile</w:t>
      </w:r>
      <w:r w:rsidR="0058228F">
        <w:rPr>
          <w:rFonts w:ascii="Times New Roman" w:hAnsi="Times New Roman" w:cs="Times New Roman"/>
          <w:sz w:val="24"/>
          <w:szCs w:val="24"/>
        </w:rPr>
        <w:t>, 2008-2012</w:t>
      </w:r>
      <w:r>
        <w:rPr>
          <w:rFonts w:ascii="Times New Roman" w:hAnsi="Times New Roman" w:cs="Times New Roman"/>
          <w:sz w:val="24"/>
          <w:szCs w:val="24"/>
        </w:rPr>
        <w:t>.</w:t>
      </w:r>
      <w:r w:rsidR="00E830D4">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2942"/>
        <w:gridCol w:w="994"/>
        <w:gridCol w:w="850"/>
      </w:tblGrid>
      <w:tr w:rsidR="005A120D" w:rsidRPr="00835146" w14:paraId="7F391BF2" w14:textId="77777777" w:rsidTr="00835146">
        <w:tc>
          <w:tcPr>
            <w:tcW w:w="2942" w:type="dxa"/>
          </w:tcPr>
          <w:p w14:paraId="59128CC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Indicador/País</w:t>
            </w:r>
          </w:p>
        </w:tc>
        <w:tc>
          <w:tcPr>
            <w:tcW w:w="994" w:type="dxa"/>
          </w:tcPr>
          <w:p w14:paraId="37AFD083"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Chile</w:t>
            </w:r>
          </w:p>
        </w:tc>
        <w:tc>
          <w:tcPr>
            <w:tcW w:w="850" w:type="dxa"/>
          </w:tcPr>
          <w:p w14:paraId="6EDF1518"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México</w:t>
            </w:r>
          </w:p>
        </w:tc>
      </w:tr>
      <w:tr w:rsidR="005A120D" w:rsidRPr="00835146" w14:paraId="6E1CC303" w14:textId="77777777" w:rsidTr="00835146">
        <w:tc>
          <w:tcPr>
            <w:tcW w:w="2942" w:type="dxa"/>
          </w:tcPr>
          <w:p w14:paraId="4CF21836"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E. de derecho 1-10</w:t>
            </w:r>
          </w:p>
        </w:tc>
        <w:tc>
          <w:tcPr>
            <w:tcW w:w="994" w:type="dxa"/>
          </w:tcPr>
          <w:p w14:paraId="7E97AED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9.3</w:t>
            </w:r>
          </w:p>
        </w:tc>
        <w:tc>
          <w:tcPr>
            <w:tcW w:w="850" w:type="dxa"/>
          </w:tcPr>
          <w:p w14:paraId="1C1BB5DE"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5.8</w:t>
            </w:r>
          </w:p>
        </w:tc>
      </w:tr>
      <w:tr w:rsidR="005A120D" w:rsidRPr="00835146" w14:paraId="0FBF3251" w14:textId="77777777" w:rsidTr="00835146">
        <w:tc>
          <w:tcPr>
            <w:tcW w:w="2942" w:type="dxa"/>
          </w:tcPr>
          <w:p w14:paraId="6072413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Rendición de cuentas (percentil)</w:t>
            </w:r>
          </w:p>
        </w:tc>
        <w:tc>
          <w:tcPr>
            <w:tcW w:w="994" w:type="dxa"/>
          </w:tcPr>
          <w:p w14:paraId="1A3D20B8"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25</w:t>
            </w:r>
          </w:p>
        </w:tc>
        <w:tc>
          <w:tcPr>
            <w:tcW w:w="850" w:type="dxa"/>
          </w:tcPr>
          <w:p w14:paraId="361CF3BC"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47</w:t>
            </w:r>
          </w:p>
        </w:tc>
      </w:tr>
      <w:tr w:rsidR="005A120D" w:rsidRPr="00835146" w14:paraId="2C7E2F53" w14:textId="77777777" w:rsidTr="00835146">
        <w:tc>
          <w:tcPr>
            <w:tcW w:w="2942" w:type="dxa"/>
          </w:tcPr>
          <w:p w14:paraId="34F9F7B0"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Límites efectivos sobre el gobierno por la legislatura 0-10</w:t>
            </w:r>
          </w:p>
        </w:tc>
        <w:tc>
          <w:tcPr>
            <w:tcW w:w="994" w:type="dxa"/>
          </w:tcPr>
          <w:p w14:paraId="749FDF7E"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7.8</w:t>
            </w:r>
          </w:p>
        </w:tc>
        <w:tc>
          <w:tcPr>
            <w:tcW w:w="850" w:type="dxa"/>
          </w:tcPr>
          <w:p w14:paraId="344DECB2"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7.2</w:t>
            </w:r>
          </w:p>
        </w:tc>
      </w:tr>
      <w:tr w:rsidR="005A120D" w:rsidRPr="00835146" w14:paraId="47F6026C" w14:textId="77777777" w:rsidTr="00835146">
        <w:tc>
          <w:tcPr>
            <w:tcW w:w="2942" w:type="dxa"/>
          </w:tcPr>
          <w:p w14:paraId="7FEA41A4"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Límites efectivos sobre el gobierno por el judicial 0-10</w:t>
            </w:r>
          </w:p>
        </w:tc>
        <w:tc>
          <w:tcPr>
            <w:tcW w:w="994" w:type="dxa"/>
          </w:tcPr>
          <w:p w14:paraId="58E51D26"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6.6</w:t>
            </w:r>
          </w:p>
        </w:tc>
        <w:tc>
          <w:tcPr>
            <w:tcW w:w="850" w:type="dxa"/>
          </w:tcPr>
          <w:p w14:paraId="689C1C4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4.9</w:t>
            </w:r>
          </w:p>
        </w:tc>
      </w:tr>
      <w:tr w:rsidR="005A120D" w:rsidRPr="00835146" w14:paraId="1AE8E638" w14:textId="77777777" w:rsidTr="00835146">
        <w:tc>
          <w:tcPr>
            <w:tcW w:w="2942" w:type="dxa"/>
          </w:tcPr>
          <w:p w14:paraId="43C7C446"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Límites efectivos sobre el gobierno por auditores independientes 0-10</w:t>
            </w:r>
          </w:p>
        </w:tc>
        <w:tc>
          <w:tcPr>
            <w:tcW w:w="994" w:type="dxa"/>
          </w:tcPr>
          <w:p w14:paraId="61C17F81"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7.6</w:t>
            </w:r>
          </w:p>
        </w:tc>
        <w:tc>
          <w:tcPr>
            <w:tcW w:w="850" w:type="dxa"/>
          </w:tcPr>
          <w:p w14:paraId="57455C0B"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4.9</w:t>
            </w:r>
          </w:p>
        </w:tc>
      </w:tr>
      <w:tr w:rsidR="005A120D" w:rsidRPr="00835146" w14:paraId="54069979" w14:textId="77777777" w:rsidTr="00835146">
        <w:tc>
          <w:tcPr>
            <w:tcW w:w="2942" w:type="dxa"/>
          </w:tcPr>
          <w:p w14:paraId="73D4AC1C"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Implementación de políticas anticorrupción 1-10</w:t>
            </w:r>
          </w:p>
        </w:tc>
        <w:tc>
          <w:tcPr>
            <w:tcW w:w="994" w:type="dxa"/>
          </w:tcPr>
          <w:p w14:paraId="40DBB01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9</w:t>
            </w:r>
          </w:p>
        </w:tc>
        <w:tc>
          <w:tcPr>
            <w:tcW w:w="850" w:type="dxa"/>
          </w:tcPr>
          <w:p w14:paraId="46FF87B9" w14:textId="77777777" w:rsidR="005A120D" w:rsidRPr="00835146" w:rsidRDefault="005A120D" w:rsidP="00FA33BE">
            <w:pPr>
              <w:jc w:val="both"/>
              <w:rPr>
                <w:rFonts w:ascii="Times New Roman" w:hAnsi="Times New Roman" w:cs="Times New Roman"/>
                <w:sz w:val="20"/>
                <w:szCs w:val="20"/>
              </w:rPr>
            </w:pPr>
            <w:r w:rsidRPr="00835146">
              <w:rPr>
                <w:rFonts w:ascii="Times New Roman" w:hAnsi="Times New Roman" w:cs="Times New Roman"/>
                <w:sz w:val="20"/>
                <w:szCs w:val="20"/>
              </w:rPr>
              <w:t>4</w:t>
            </w:r>
          </w:p>
        </w:tc>
      </w:tr>
    </w:tbl>
    <w:p w14:paraId="1C3AABEC" w14:textId="77777777" w:rsidR="005A120D" w:rsidRPr="00835146" w:rsidRDefault="005A120D" w:rsidP="00FA33BE">
      <w:pPr>
        <w:spacing w:line="240" w:lineRule="auto"/>
        <w:jc w:val="both"/>
        <w:rPr>
          <w:rFonts w:ascii="Times New Roman" w:hAnsi="Times New Roman" w:cs="Times New Roman"/>
          <w:sz w:val="20"/>
          <w:szCs w:val="20"/>
        </w:rPr>
      </w:pPr>
      <w:r w:rsidRPr="00835146">
        <w:rPr>
          <w:rFonts w:ascii="Times New Roman" w:hAnsi="Times New Roman" w:cs="Times New Roman"/>
          <w:sz w:val="20"/>
          <w:szCs w:val="20"/>
        </w:rPr>
        <w:t>Fuente</w:t>
      </w:r>
      <w:r w:rsidR="0058228F">
        <w:rPr>
          <w:rFonts w:ascii="Times New Roman" w:hAnsi="Times New Roman" w:cs="Times New Roman"/>
          <w:sz w:val="20"/>
          <w:szCs w:val="20"/>
        </w:rPr>
        <w:t>: Elaboración propia con datos de AGI Data</w:t>
      </w:r>
      <w:r w:rsidRPr="00835146">
        <w:rPr>
          <w:rFonts w:ascii="Times New Roman" w:hAnsi="Times New Roman" w:cs="Times New Roman"/>
          <w:sz w:val="20"/>
          <w:szCs w:val="20"/>
        </w:rPr>
        <w:t>.</w:t>
      </w:r>
    </w:p>
    <w:p w14:paraId="11E244F8" w14:textId="77777777" w:rsidR="0090762F" w:rsidRDefault="00573F5A"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En suma, diferentes estudios y diagnósticos</w:t>
      </w:r>
      <w:r w:rsidR="000C2342">
        <w:rPr>
          <w:rFonts w:ascii="Times New Roman" w:hAnsi="Times New Roman" w:cs="Times New Roman"/>
          <w:sz w:val="24"/>
          <w:szCs w:val="24"/>
        </w:rPr>
        <w:t xml:space="preserve"> de factura reciente</w:t>
      </w:r>
      <w:r>
        <w:rPr>
          <w:rFonts w:ascii="Times New Roman" w:hAnsi="Times New Roman" w:cs="Times New Roman"/>
          <w:sz w:val="24"/>
          <w:szCs w:val="24"/>
        </w:rPr>
        <w:t xml:space="preserve"> coinciden en que hay una clara diferencia en el desempeño de México y Chile en relación con el Estado de derecho</w:t>
      </w:r>
      <w:r w:rsidR="007B4735">
        <w:rPr>
          <w:rFonts w:ascii="Times New Roman" w:hAnsi="Times New Roman" w:cs="Times New Roman"/>
          <w:sz w:val="24"/>
          <w:szCs w:val="24"/>
        </w:rPr>
        <w:t xml:space="preserve"> y aspectos relacionados</w:t>
      </w:r>
      <w:r w:rsidR="000C2342">
        <w:rPr>
          <w:rFonts w:ascii="Times New Roman" w:hAnsi="Times New Roman" w:cs="Times New Roman"/>
          <w:sz w:val="24"/>
          <w:szCs w:val="24"/>
        </w:rPr>
        <w:t>,</w:t>
      </w:r>
      <w:r w:rsidR="007B4735">
        <w:rPr>
          <w:rFonts w:ascii="Times New Roman" w:hAnsi="Times New Roman" w:cs="Times New Roman"/>
          <w:sz w:val="24"/>
          <w:szCs w:val="24"/>
        </w:rPr>
        <w:t xml:space="preserve"> como el combate a la corrupción</w:t>
      </w:r>
      <w:r>
        <w:rPr>
          <w:rFonts w:ascii="Times New Roman" w:hAnsi="Times New Roman" w:cs="Times New Roman"/>
          <w:sz w:val="24"/>
          <w:szCs w:val="24"/>
        </w:rPr>
        <w:t xml:space="preserve">. </w:t>
      </w:r>
      <w:r w:rsidR="007B4735">
        <w:rPr>
          <w:rFonts w:ascii="Times New Roman" w:hAnsi="Times New Roman" w:cs="Times New Roman"/>
          <w:sz w:val="24"/>
          <w:szCs w:val="24"/>
        </w:rPr>
        <w:t>Mientras el primero muestra una calidad deficiente, el segundo tiene uno de los mejores desempeños de la región. Por el contra</w:t>
      </w:r>
      <w:r w:rsidR="002257EB">
        <w:rPr>
          <w:rFonts w:ascii="Times New Roman" w:hAnsi="Times New Roman" w:cs="Times New Roman"/>
          <w:sz w:val="24"/>
          <w:szCs w:val="24"/>
        </w:rPr>
        <w:t>rio, si observamos dimensiones relacionadas con el acceso al poder el desempeño de México es levemente superior</w:t>
      </w:r>
      <w:r w:rsidR="0058228F">
        <w:rPr>
          <w:rFonts w:ascii="Times New Roman" w:hAnsi="Times New Roman" w:cs="Times New Roman"/>
          <w:sz w:val="24"/>
          <w:szCs w:val="24"/>
        </w:rPr>
        <w:t xml:space="preserve"> al de Chile.</w:t>
      </w:r>
    </w:p>
    <w:p w14:paraId="307C9578" w14:textId="77777777" w:rsidR="0058228F" w:rsidRDefault="0058228F" w:rsidP="00FA33BE">
      <w:pPr>
        <w:spacing w:line="240" w:lineRule="auto"/>
        <w:jc w:val="both"/>
        <w:rPr>
          <w:rFonts w:ascii="Times New Roman" w:hAnsi="Times New Roman" w:cs="Times New Roman"/>
          <w:sz w:val="24"/>
          <w:szCs w:val="24"/>
        </w:rPr>
      </w:pPr>
    </w:p>
    <w:p w14:paraId="367ED8FD" w14:textId="77777777" w:rsidR="005A120D" w:rsidRDefault="007D0123" w:rsidP="00FA33BE">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CAMBIO INSTITUCIONAL EN LOS 90 EN MÉXICO Y CHILE. </w:t>
      </w:r>
    </w:p>
    <w:p w14:paraId="3B5724D2" w14:textId="77777777" w:rsidR="0095542D" w:rsidRDefault="0095542D"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los años 90, México y Chile </w:t>
      </w:r>
      <w:r w:rsidR="009418B4">
        <w:rPr>
          <w:rFonts w:ascii="Times New Roman" w:hAnsi="Times New Roman" w:cs="Times New Roman"/>
          <w:sz w:val="24"/>
          <w:szCs w:val="24"/>
        </w:rPr>
        <w:t>tuvieron</w:t>
      </w:r>
      <w:r w:rsidR="00810B2E">
        <w:rPr>
          <w:rFonts w:ascii="Times New Roman" w:hAnsi="Times New Roman" w:cs="Times New Roman"/>
          <w:sz w:val="24"/>
          <w:szCs w:val="24"/>
        </w:rPr>
        <w:t xml:space="preserve"> un comportamiento inverso en lo que se refiere al cambio institucional, que parece coincidir con el desempeño actual en cuanto a</w:t>
      </w:r>
      <w:r w:rsidR="002257EB">
        <w:rPr>
          <w:rFonts w:ascii="Times New Roman" w:hAnsi="Times New Roman" w:cs="Times New Roman"/>
          <w:sz w:val="24"/>
          <w:szCs w:val="24"/>
        </w:rPr>
        <w:t xml:space="preserve"> la calidad de sus democracias.</w:t>
      </w:r>
      <w:r w:rsidR="00810B2E">
        <w:rPr>
          <w:rFonts w:ascii="Times New Roman" w:hAnsi="Times New Roman" w:cs="Times New Roman"/>
          <w:sz w:val="24"/>
          <w:szCs w:val="24"/>
        </w:rPr>
        <w:t xml:space="preserve"> Mientras que Chile se dedicó a realizar reformas relacionadas con el combate a la corrupción y </w:t>
      </w:r>
      <w:r w:rsidR="008705D3">
        <w:rPr>
          <w:rFonts w:ascii="Times New Roman" w:hAnsi="Times New Roman" w:cs="Times New Roman"/>
          <w:sz w:val="24"/>
          <w:szCs w:val="24"/>
        </w:rPr>
        <w:t>con el sistema de justicia</w:t>
      </w:r>
      <w:r w:rsidR="00810B2E">
        <w:rPr>
          <w:rFonts w:ascii="Times New Roman" w:hAnsi="Times New Roman" w:cs="Times New Roman"/>
          <w:sz w:val="24"/>
          <w:szCs w:val="24"/>
        </w:rPr>
        <w:t>, dejando de lado el tema electoral y de participación política, México hizo lo contrario, las principales reformas de la década se concentraron en el tema electoral mientras que en aspectos relacionados con el Estado de derecho hubo apenas una limitada reforma en el tema judicial.</w:t>
      </w:r>
    </w:p>
    <w:p w14:paraId="192C6E00" w14:textId="77777777" w:rsidR="00573F5A" w:rsidRPr="00043766" w:rsidRDefault="00573F5A" w:rsidP="00FA33BE">
      <w:pPr>
        <w:spacing w:line="240" w:lineRule="auto"/>
        <w:jc w:val="both"/>
        <w:rPr>
          <w:rFonts w:ascii="Times New Roman" w:hAnsi="Times New Roman" w:cs="Times New Roman"/>
          <w:sz w:val="24"/>
          <w:szCs w:val="24"/>
        </w:rPr>
      </w:pPr>
    </w:p>
    <w:p w14:paraId="5884A414" w14:textId="77777777" w:rsidR="005D439C" w:rsidRPr="00810B2E" w:rsidRDefault="002257EB" w:rsidP="00FA33B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TABLA 3. </w:t>
      </w:r>
      <w:r w:rsidR="004F02B6" w:rsidRPr="00810B2E">
        <w:rPr>
          <w:rFonts w:ascii="Times New Roman" w:hAnsi="Times New Roman" w:cs="Times New Roman"/>
          <w:sz w:val="20"/>
          <w:szCs w:val="20"/>
        </w:rPr>
        <w:t xml:space="preserve">PRINCIPALES REFORMAS </w:t>
      </w:r>
      <w:r>
        <w:rPr>
          <w:rFonts w:ascii="Times New Roman" w:hAnsi="Times New Roman" w:cs="Times New Roman"/>
          <w:sz w:val="20"/>
          <w:szCs w:val="20"/>
        </w:rPr>
        <w:t xml:space="preserve">DURANTE LA </w:t>
      </w:r>
      <w:r w:rsidR="004F02B6" w:rsidRPr="00810B2E">
        <w:rPr>
          <w:rFonts w:ascii="Times New Roman" w:hAnsi="Times New Roman" w:cs="Times New Roman"/>
          <w:sz w:val="20"/>
          <w:szCs w:val="20"/>
        </w:rPr>
        <w:t>DÉCADA</w:t>
      </w:r>
      <w:r>
        <w:rPr>
          <w:rFonts w:ascii="Times New Roman" w:hAnsi="Times New Roman" w:cs="Times New Roman"/>
          <w:sz w:val="20"/>
          <w:szCs w:val="20"/>
        </w:rPr>
        <w:t xml:space="preserve"> DE LOS</w:t>
      </w:r>
      <w:r w:rsidR="004F02B6" w:rsidRPr="00810B2E">
        <w:rPr>
          <w:rFonts w:ascii="Times New Roman" w:hAnsi="Times New Roman" w:cs="Times New Roman"/>
          <w:sz w:val="20"/>
          <w:szCs w:val="20"/>
        </w:rPr>
        <w:t xml:space="preserve"> 90</w:t>
      </w:r>
    </w:p>
    <w:tbl>
      <w:tblPr>
        <w:tblStyle w:val="Tablaconcuadrcula"/>
        <w:tblW w:w="0" w:type="auto"/>
        <w:tblLook w:val="04A0" w:firstRow="1" w:lastRow="0" w:firstColumn="1" w:lastColumn="0" w:noHBand="0" w:noVBand="1"/>
      </w:tblPr>
      <w:tblGrid>
        <w:gridCol w:w="4414"/>
        <w:gridCol w:w="4414"/>
      </w:tblGrid>
      <w:tr w:rsidR="004F02B6" w:rsidRPr="00810B2E" w14:paraId="2F434C76" w14:textId="77777777" w:rsidTr="004F02B6">
        <w:tc>
          <w:tcPr>
            <w:tcW w:w="4414" w:type="dxa"/>
          </w:tcPr>
          <w:p w14:paraId="7397884D"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CHILE</w:t>
            </w:r>
          </w:p>
        </w:tc>
        <w:tc>
          <w:tcPr>
            <w:tcW w:w="4414" w:type="dxa"/>
          </w:tcPr>
          <w:p w14:paraId="1754E78A"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MÉXICO</w:t>
            </w:r>
          </w:p>
        </w:tc>
      </w:tr>
      <w:tr w:rsidR="004F02B6" w:rsidRPr="00810B2E" w14:paraId="2A8F7762" w14:textId="77777777" w:rsidTr="004F02B6">
        <w:tc>
          <w:tcPr>
            <w:tcW w:w="4414" w:type="dxa"/>
          </w:tcPr>
          <w:p w14:paraId="43D90E9A"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No reformas electorales significativas</w:t>
            </w:r>
            <w:r w:rsidR="00424822">
              <w:rPr>
                <w:rFonts w:ascii="Times New Roman" w:hAnsi="Times New Roman" w:cs="Times New Roman"/>
                <w:sz w:val="20"/>
                <w:szCs w:val="20"/>
              </w:rPr>
              <w:t>.</w:t>
            </w:r>
          </w:p>
          <w:p w14:paraId="79120B93"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 xml:space="preserve">Se mantienen </w:t>
            </w:r>
            <w:r w:rsidR="00424822">
              <w:rPr>
                <w:rFonts w:ascii="Times New Roman" w:hAnsi="Times New Roman" w:cs="Times New Roman"/>
                <w:sz w:val="20"/>
                <w:szCs w:val="20"/>
              </w:rPr>
              <w:t>los “enclaves</w:t>
            </w:r>
            <w:r w:rsidRPr="00810B2E">
              <w:rPr>
                <w:rFonts w:ascii="Times New Roman" w:hAnsi="Times New Roman" w:cs="Times New Roman"/>
                <w:sz w:val="20"/>
                <w:szCs w:val="20"/>
              </w:rPr>
              <w:t xml:space="preserve"> autoritarios</w:t>
            </w:r>
            <w:r w:rsidR="00424822">
              <w:rPr>
                <w:rFonts w:ascii="Times New Roman" w:hAnsi="Times New Roman" w:cs="Times New Roman"/>
                <w:sz w:val="20"/>
                <w:szCs w:val="20"/>
              </w:rPr>
              <w:t>”</w:t>
            </w:r>
            <w:r w:rsidR="002257EB">
              <w:rPr>
                <w:rFonts w:ascii="Times New Roman" w:hAnsi="Times New Roman" w:cs="Times New Roman"/>
                <w:sz w:val="20"/>
                <w:szCs w:val="20"/>
              </w:rPr>
              <w:t>.</w:t>
            </w:r>
          </w:p>
          <w:p w14:paraId="4452FA3E" w14:textId="77777777" w:rsidR="004F02B6" w:rsidRPr="00810B2E" w:rsidRDefault="002257EB" w:rsidP="00FA33BE">
            <w:pPr>
              <w:jc w:val="both"/>
              <w:rPr>
                <w:rFonts w:ascii="Times New Roman" w:hAnsi="Times New Roman" w:cs="Times New Roman"/>
                <w:sz w:val="20"/>
                <w:szCs w:val="20"/>
              </w:rPr>
            </w:pPr>
            <w:r>
              <w:rPr>
                <w:rFonts w:ascii="Times New Roman" w:hAnsi="Times New Roman" w:cs="Times New Roman"/>
                <w:sz w:val="20"/>
                <w:szCs w:val="20"/>
              </w:rPr>
              <w:t>Los acuerdos de</w:t>
            </w:r>
            <w:r w:rsidR="004F02B6" w:rsidRPr="00810B2E">
              <w:rPr>
                <w:rFonts w:ascii="Times New Roman" w:hAnsi="Times New Roman" w:cs="Times New Roman"/>
                <w:sz w:val="20"/>
                <w:szCs w:val="20"/>
              </w:rPr>
              <w:t xml:space="preserve"> transición</w:t>
            </w:r>
            <w:r>
              <w:rPr>
                <w:rFonts w:ascii="Times New Roman" w:hAnsi="Times New Roman" w:cs="Times New Roman"/>
                <w:sz w:val="20"/>
                <w:szCs w:val="20"/>
              </w:rPr>
              <w:t xml:space="preserve"> restringen las reformas </w:t>
            </w:r>
            <w:r w:rsidR="004F02B6" w:rsidRPr="00810B2E">
              <w:rPr>
                <w:rFonts w:ascii="Times New Roman" w:hAnsi="Times New Roman" w:cs="Times New Roman"/>
                <w:sz w:val="20"/>
                <w:szCs w:val="20"/>
              </w:rPr>
              <w:t xml:space="preserve"> </w:t>
            </w:r>
            <w:r>
              <w:rPr>
                <w:rFonts w:ascii="Times New Roman" w:hAnsi="Times New Roman" w:cs="Times New Roman"/>
                <w:sz w:val="20"/>
                <w:szCs w:val="20"/>
              </w:rPr>
              <w:t>en materia electoral.</w:t>
            </w:r>
          </w:p>
          <w:p w14:paraId="3E56EF78"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Avances importantes en Estado de derecho y combate a la corrupción.</w:t>
            </w:r>
          </w:p>
          <w:p w14:paraId="282DAB5B" w14:textId="77777777" w:rsidR="004F02B6" w:rsidRDefault="002257EB" w:rsidP="00FA33BE">
            <w:pPr>
              <w:jc w:val="both"/>
              <w:rPr>
                <w:rFonts w:ascii="Times New Roman" w:hAnsi="Times New Roman" w:cs="Times New Roman"/>
                <w:sz w:val="20"/>
                <w:szCs w:val="20"/>
              </w:rPr>
            </w:pPr>
            <w:r>
              <w:rPr>
                <w:rFonts w:ascii="Times New Roman" w:hAnsi="Times New Roman" w:cs="Times New Roman"/>
                <w:sz w:val="20"/>
                <w:szCs w:val="20"/>
              </w:rPr>
              <w:t>Se realiza</w:t>
            </w:r>
            <w:r w:rsidR="007E5FC8">
              <w:rPr>
                <w:rFonts w:ascii="Times New Roman" w:hAnsi="Times New Roman" w:cs="Times New Roman"/>
                <w:sz w:val="20"/>
                <w:szCs w:val="20"/>
              </w:rPr>
              <w:t xml:space="preserve"> una</w:t>
            </w:r>
            <w:r>
              <w:rPr>
                <w:rFonts w:ascii="Times New Roman" w:hAnsi="Times New Roman" w:cs="Times New Roman"/>
                <w:sz w:val="20"/>
                <w:szCs w:val="20"/>
              </w:rPr>
              <w:t xml:space="preserve"> r</w:t>
            </w:r>
            <w:r w:rsidR="004F02B6" w:rsidRPr="00810B2E">
              <w:rPr>
                <w:rFonts w:ascii="Times New Roman" w:hAnsi="Times New Roman" w:cs="Times New Roman"/>
                <w:sz w:val="20"/>
                <w:szCs w:val="20"/>
              </w:rPr>
              <w:t>eforma procediment</w:t>
            </w:r>
            <w:r>
              <w:rPr>
                <w:rFonts w:ascii="Times New Roman" w:hAnsi="Times New Roman" w:cs="Times New Roman"/>
                <w:sz w:val="20"/>
                <w:szCs w:val="20"/>
              </w:rPr>
              <w:t>al penal profunda</w:t>
            </w:r>
            <w:r w:rsidR="004F02B6" w:rsidRPr="00810B2E">
              <w:rPr>
                <w:rFonts w:ascii="Times New Roman" w:hAnsi="Times New Roman" w:cs="Times New Roman"/>
                <w:sz w:val="20"/>
                <w:szCs w:val="20"/>
              </w:rPr>
              <w:t>.</w:t>
            </w:r>
          </w:p>
          <w:p w14:paraId="7B1396F3" w14:textId="77777777" w:rsidR="001C5DC2" w:rsidRPr="00810B2E" w:rsidRDefault="007E5FC8" w:rsidP="00FA33BE">
            <w:pPr>
              <w:jc w:val="both"/>
              <w:rPr>
                <w:rFonts w:ascii="Times New Roman" w:hAnsi="Times New Roman" w:cs="Times New Roman"/>
                <w:sz w:val="20"/>
                <w:szCs w:val="20"/>
              </w:rPr>
            </w:pPr>
            <w:r>
              <w:rPr>
                <w:rFonts w:ascii="Times New Roman" w:hAnsi="Times New Roman" w:cs="Times New Roman"/>
                <w:sz w:val="20"/>
                <w:szCs w:val="20"/>
              </w:rPr>
              <w:t xml:space="preserve">Se crea la </w:t>
            </w:r>
            <w:r w:rsidR="001C5DC2">
              <w:rPr>
                <w:rFonts w:ascii="Times New Roman" w:hAnsi="Times New Roman" w:cs="Times New Roman"/>
                <w:sz w:val="20"/>
                <w:szCs w:val="20"/>
              </w:rPr>
              <w:t>Academia Judicial.</w:t>
            </w:r>
          </w:p>
          <w:p w14:paraId="3992E0C3" w14:textId="77777777" w:rsidR="004F02B6" w:rsidRPr="00810B2E" w:rsidRDefault="007E5FC8" w:rsidP="00FA33BE">
            <w:pPr>
              <w:jc w:val="both"/>
              <w:rPr>
                <w:rFonts w:ascii="Times New Roman" w:hAnsi="Times New Roman" w:cs="Times New Roman"/>
                <w:sz w:val="20"/>
                <w:szCs w:val="20"/>
              </w:rPr>
            </w:pPr>
            <w:r>
              <w:rPr>
                <w:rFonts w:ascii="Times New Roman" w:hAnsi="Times New Roman" w:cs="Times New Roman"/>
                <w:sz w:val="20"/>
                <w:szCs w:val="20"/>
              </w:rPr>
              <w:t>Presencia importante de</w:t>
            </w:r>
            <w:r w:rsidR="004F02B6" w:rsidRPr="00810B2E">
              <w:rPr>
                <w:rFonts w:ascii="Times New Roman" w:hAnsi="Times New Roman" w:cs="Times New Roman"/>
                <w:sz w:val="20"/>
                <w:szCs w:val="20"/>
              </w:rPr>
              <w:t xml:space="preserve"> ONGs en lucha a</w:t>
            </w:r>
            <w:r>
              <w:rPr>
                <w:rFonts w:ascii="Times New Roman" w:hAnsi="Times New Roman" w:cs="Times New Roman"/>
                <w:sz w:val="20"/>
                <w:szCs w:val="20"/>
              </w:rPr>
              <w:t>nticorrupción</w:t>
            </w:r>
            <w:r w:rsidR="004F02B6" w:rsidRPr="00810B2E">
              <w:rPr>
                <w:rFonts w:ascii="Times New Roman" w:hAnsi="Times New Roman" w:cs="Times New Roman"/>
                <w:sz w:val="20"/>
                <w:szCs w:val="20"/>
              </w:rPr>
              <w:t xml:space="preserve">. </w:t>
            </w:r>
          </w:p>
        </w:tc>
        <w:tc>
          <w:tcPr>
            <w:tcW w:w="4414" w:type="dxa"/>
          </w:tcPr>
          <w:p w14:paraId="52C575AD" w14:textId="77777777" w:rsidR="004F02B6" w:rsidRPr="00810B2E" w:rsidRDefault="004F02B6" w:rsidP="00FA33BE">
            <w:pPr>
              <w:jc w:val="both"/>
              <w:rPr>
                <w:rFonts w:ascii="Times New Roman" w:hAnsi="Times New Roman" w:cs="Times New Roman"/>
                <w:sz w:val="20"/>
                <w:szCs w:val="20"/>
              </w:rPr>
            </w:pPr>
            <w:r w:rsidRPr="00810B2E">
              <w:rPr>
                <w:rFonts w:ascii="Times New Roman" w:hAnsi="Times New Roman" w:cs="Times New Roman"/>
                <w:sz w:val="20"/>
                <w:szCs w:val="20"/>
              </w:rPr>
              <w:t>Avances electorales de oposición a través de instituciones informales, como las “conc</w:t>
            </w:r>
            <w:r w:rsidR="007E5FC8">
              <w:rPr>
                <w:rFonts w:ascii="Times New Roman" w:hAnsi="Times New Roman" w:cs="Times New Roman"/>
                <w:sz w:val="20"/>
                <w:szCs w:val="20"/>
              </w:rPr>
              <w:t>ertacesiones”</w:t>
            </w:r>
            <w:r w:rsidRPr="00810B2E">
              <w:rPr>
                <w:rFonts w:ascii="Times New Roman" w:hAnsi="Times New Roman" w:cs="Times New Roman"/>
                <w:sz w:val="20"/>
                <w:szCs w:val="20"/>
              </w:rPr>
              <w:t>.</w:t>
            </w:r>
          </w:p>
          <w:p w14:paraId="7C4049B5" w14:textId="77777777" w:rsidR="00A52CE4" w:rsidRPr="00810B2E" w:rsidRDefault="00424822" w:rsidP="00FA33BE">
            <w:pPr>
              <w:jc w:val="both"/>
              <w:rPr>
                <w:rFonts w:ascii="Times New Roman" w:hAnsi="Times New Roman" w:cs="Times New Roman"/>
                <w:sz w:val="20"/>
                <w:szCs w:val="20"/>
              </w:rPr>
            </w:pPr>
            <w:r>
              <w:rPr>
                <w:rFonts w:ascii="Times New Roman" w:hAnsi="Times New Roman" w:cs="Times New Roman"/>
                <w:sz w:val="20"/>
                <w:szCs w:val="20"/>
              </w:rPr>
              <w:t>R</w:t>
            </w:r>
            <w:r w:rsidR="00A52CE4" w:rsidRPr="00810B2E">
              <w:rPr>
                <w:rFonts w:ascii="Times New Roman" w:hAnsi="Times New Roman" w:cs="Times New Roman"/>
                <w:sz w:val="20"/>
                <w:szCs w:val="20"/>
              </w:rPr>
              <w:t>eformas electorales importantes</w:t>
            </w:r>
            <w:r w:rsidR="0035701C" w:rsidRPr="00810B2E">
              <w:rPr>
                <w:rFonts w:ascii="Times New Roman" w:hAnsi="Times New Roman" w:cs="Times New Roman"/>
                <w:sz w:val="20"/>
                <w:szCs w:val="20"/>
              </w:rPr>
              <w:t>,</w:t>
            </w:r>
            <w:r w:rsidR="00A52CE4" w:rsidRPr="00810B2E">
              <w:rPr>
                <w:rFonts w:ascii="Times New Roman" w:hAnsi="Times New Roman" w:cs="Times New Roman"/>
                <w:sz w:val="20"/>
                <w:szCs w:val="20"/>
              </w:rPr>
              <w:t xml:space="preserve"> como la del 94, para ampliar espacios a</w:t>
            </w:r>
            <w:r w:rsidR="007E5FC8">
              <w:rPr>
                <w:rFonts w:ascii="Times New Roman" w:hAnsi="Times New Roman" w:cs="Times New Roman"/>
                <w:sz w:val="20"/>
                <w:szCs w:val="20"/>
              </w:rPr>
              <w:t xml:space="preserve"> la</w:t>
            </w:r>
            <w:r w:rsidR="00A52CE4" w:rsidRPr="00810B2E">
              <w:rPr>
                <w:rFonts w:ascii="Times New Roman" w:hAnsi="Times New Roman" w:cs="Times New Roman"/>
                <w:sz w:val="20"/>
                <w:szCs w:val="20"/>
              </w:rPr>
              <w:t xml:space="preserve"> oposición.</w:t>
            </w:r>
          </w:p>
          <w:p w14:paraId="4958991E" w14:textId="77777777" w:rsidR="00A52CE4" w:rsidRPr="00810B2E" w:rsidRDefault="007E5FC8" w:rsidP="00FA33BE">
            <w:pPr>
              <w:jc w:val="both"/>
              <w:rPr>
                <w:rFonts w:ascii="Times New Roman" w:hAnsi="Times New Roman" w:cs="Times New Roman"/>
                <w:sz w:val="20"/>
                <w:szCs w:val="20"/>
              </w:rPr>
            </w:pPr>
            <w:r>
              <w:rPr>
                <w:rFonts w:ascii="Times New Roman" w:hAnsi="Times New Roman" w:cs="Times New Roman"/>
                <w:sz w:val="20"/>
                <w:szCs w:val="20"/>
              </w:rPr>
              <w:t>Reforma judicial sólo afecta a la Suprema Corte</w:t>
            </w:r>
            <w:r w:rsidR="0035701C" w:rsidRPr="00810B2E">
              <w:rPr>
                <w:rFonts w:ascii="Times New Roman" w:hAnsi="Times New Roman" w:cs="Times New Roman"/>
                <w:sz w:val="20"/>
                <w:szCs w:val="20"/>
              </w:rPr>
              <w:t>.</w:t>
            </w:r>
          </w:p>
          <w:p w14:paraId="66F6F12F" w14:textId="77777777" w:rsidR="004F02B6" w:rsidRPr="00810B2E" w:rsidRDefault="004F02B6" w:rsidP="00FA33BE">
            <w:pPr>
              <w:jc w:val="both"/>
              <w:rPr>
                <w:rFonts w:ascii="Times New Roman" w:hAnsi="Times New Roman" w:cs="Times New Roman"/>
                <w:sz w:val="20"/>
                <w:szCs w:val="20"/>
              </w:rPr>
            </w:pPr>
          </w:p>
        </w:tc>
      </w:tr>
    </w:tbl>
    <w:p w14:paraId="5CE3C63D" w14:textId="77777777" w:rsidR="0035701C" w:rsidRPr="00043766" w:rsidRDefault="0035701C" w:rsidP="00FA33BE">
      <w:pPr>
        <w:spacing w:line="240" w:lineRule="auto"/>
        <w:jc w:val="both"/>
        <w:rPr>
          <w:rFonts w:ascii="Times New Roman" w:hAnsi="Times New Roman" w:cs="Times New Roman"/>
          <w:sz w:val="24"/>
          <w:szCs w:val="24"/>
        </w:rPr>
      </w:pPr>
    </w:p>
    <w:p w14:paraId="2938F19F" w14:textId="77777777" w:rsidR="00C067B5" w:rsidRDefault="005363B1"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EF111F">
        <w:rPr>
          <w:rFonts w:ascii="Times New Roman" w:hAnsi="Times New Roman" w:cs="Times New Roman"/>
          <w:sz w:val="24"/>
          <w:szCs w:val="24"/>
        </w:rPr>
        <w:t>transición mexicana transcurrió durante fines de los 80 y los 90 con el tema de la lucha contra el fraude electoral</w:t>
      </w:r>
      <w:r>
        <w:rPr>
          <w:rFonts w:ascii="Times New Roman" w:hAnsi="Times New Roman" w:cs="Times New Roman"/>
          <w:sz w:val="24"/>
          <w:szCs w:val="24"/>
        </w:rPr>
        <w:t xml:space="preserve"> en el centro de</w:t>
      </w:r>
      <w:r w:rsidR="00EF111F">
        <w:rPr>
          <w:rFonts w:ascii="Times New Roman" w:hAnsi="Times New Roman" w:cs="Times New Roman"/>
          <w:sz w:val="24"/>
          <w:szCs w:val="24"/>
        </w:rPr>
        <w:t xml:space="preserve"> la agenda. </w:t>
      </w:r>
      <w:r>
        <w:rPr>
          <w:rFonts w:ascii="Times New Roman" w:hAnsi="Times New Roman" w:cs="Times New Roman"/>
          <w:sz w:val="24"/>
          <w:szCs w:val="24"/>
        </w:rPr>
        <w:t>L</w:t>
      </w:r>
      <w:r w:rsidR="00EF111F">
        <w:rPr>
          <w:rFonts w:ascii="Times New Roman" w:hAnsi="Times New Roman" w:cs="Times New Roman"/>
          <w:sz w:val="24"/>
          <w:szCs w:val="24"/>
        </w:rPr>
        <w:t>a presencia de un partido</w:t>
      </w:r>
      <w:r>
        <w:rPr>
          <w:rFonts w:ascii="Times New Roman" w:hAnsi="Times New Roman" w:cs="Times New Roman"/>
          <w:sz w:val="24"/>
          <w:szCs w:val="24"/>
        </w:rPr>
        <w:t xml:space="preserve"> de oposición</w:t>
      </w:r>
      <w:r w:rsidR="00EF111F">
        <w:rPr>
          <w:rFonts w:ascii="Times New Roman" w:hAnsi="Times New Roman" w:cs="Times New Roman"/>
          <w:sz w:val="24"/>
          <w:szCs w:val="24"/>
        </w:rPr>
        <w:t>, el P</w:t>
      </w:r>
      <w:r>
        <w:rPr>
          <w:rFonts w:ascii="Times New Roman" w:hAnsi="Times New Roman" w:cs="Times New Roman"/>
          <w:sz w:val="24"/>
          <w:szCs w:val="24"/>
        </w:rPr>
        <w:t xml:space="preserve">artido </w:t>
      </w:r>
      <w:r w:rsidR="00EF111F">
        <w:rPr>
          <w:rFonts w:ascii="Times New Roman" w:hAnsi="Times New Roman" w:cs="Times New Roman"/>
          <w:sz w:val="24"/>
          <w:szCs w:val="24"/>
        </w:rPr>
        <w:t>A</w:t>
      </w:r>
      <w:r>
        <w:rPr>
          <w:rFonts w:ascii="Times New Roman" w:hAnsi="Times New Roman" w:cs="Times New Roman"/>
          <w:sz w:val="24"/>
          <w:szCs w:val="24"/>
        </w:rPr>
        <w:t xml:space="preserve">cción </w:t>
      </w:r>
      <w:r w:rsidR="00EF111F">
        <w:rPr>
          <w:rFonts w:ascii="Times New Roman" w:hAnsi="Times New Roman" w:cs="Times New Roman"/>
          <w:sz w:val="24"/>
          <w:szCs w:val="24"/>
        </w:rPr>
        <w:t>N</w:t>
      </w:r>
      <w:r>
        <w:rPr>
          <w:rFonts w:ascii="Times New Roman" w:hAnsi="Times New Roman" w:cs="Times New Roman"/>
          <w:sz w:val="24"/>
          <w:szCs w:val="24"/>
        </w:rPr>
        <w:t>acional (PAN)</w:t>
      </w:r>
      <w:r w:rsidR="00EF111F">
        <w:rPr>
          <w:rFonts w:ascii="Times New Roman" w:hAnsi="Times New Roman" w:cs="Times New Roman"/>
          <w:sz w:val="24"/>
          <w:szCs w:val="24"/>
        </w:rPr>
        <w:t xml:space="preserve">, con una trayectoria de más de cuatro décadas </w:t>
      </w:r>
      <w:r w:rsidR="005D055D">
        <w:rPr>
          <w:rFonts w:ascii="Times New Roman" w:hAnsi="Times New Roman" w:cs="Times New Roman"/>
          <w:sz w:val="24"/>
          <w:szCs w:val="24"/>
        </w:rPr>
        <w:t xml:space="preserve">a través de las cuales </w:t>
      </w:r>
      <w:r w:rsidR="00A30ACC">
        <w:rPr>
          <w:rFonts w:ascii="Times New Roman" w:hAnsi="Times New Roman" w:cs="Times New Roman"/>
          <w:sz w:val="24"/>
          <w:szCs w:val="24"/>
        </w:rPr>
        <w:t xml:space="preserve">fue bloqueada </w:t>
      </w:r>
      <w:r w:rsidR="005D055D">
        <w:rPr>
          <w:rFonts w:ascii="Times New Roman" w:hAnsi="Times New Roman" w:cs="Times New Roman"/>
          <w:sz w:val="24"/>
          <w:szCs w:val="24"/>
        </w:rPr>
        <w:t>su</w:t>
      </w:r>
      <w:r w:rsidR="00EF111F">
        <w:rPr>
          <w:rFonts w:ascii="Times New Roman" w:hAnsi="Times New Roman" w:cs="Times New Roman"/>
          <w:sz w:val="24"/>
          <w:szCs w:val="24"/>
        </w:rPr>
        <w:t xml:space="preserve"> creciente preferencia electoral</w:t>
      </w:r>
      <w:r w:rsidR="00A30ACC">
        <w:rPr>
          <w:rFonts w:ascii="Times New Roman" w:hAnsi="Times New Roman" w:cs="Times New Roman"/>
          <w:sz w:val="24"/>
          <w:szCs w:val="24"/>
        </w:rPr>
        <w:t xml:space="preserve"> por</w:t>
      </w:r>
      <w:r w:rsidR="00475DF3">
        <w:rPr>
          <w:rFonts w:ascii="Times New Roman" w:hAnsi="Times New Roman" w:cs="Times New Roman"/>
          <w:sz w:val="24"/>
          <w:szCs w:val="24"/>
        </w:rPr>
        <w:t xml:space="preserve"> medio de</w:t>
      </w:r>
      <w:r w:rsidR="00A30ACC">
        <w:rPr>
          <w:rFonts w:ascii="Times New Roman" w:hAnsi="Times New Roman" w:cs="Times New Roman"/>
          <w:sz w:val="24"/>
          <w:szCs w:val="24"/>
        </w:rPr>
        <w:t xml:space="preserve"> recurrentes fraudes</w:t>
      </w:r>
      <w:r w:rsidR="005D055D">
        <w:rPr>
          <w:rFonts w:ascii="Times New Roman" w:hAnsi="Times New Roman" w:cs="Times New Roman"/>
          <w:sz w:val="24"/>
          <w:szCs w:val="24"/>
        </w:rPr>
        <w:t>, más la aparición</w:t>
      </w:r>
      <w:r>
        <w:rPr>
          <w:rFonts w:ascii="Times New Roman" w:hAnsi="Times New Roman" w:cs="Times New Roman"/>
          <w:sz w:val="24"/>
          <w:szCs w:val="24"/>
        </w:rPr>
        <w:t>,</w:t>
      </w:r>
      <w:r w:rsidR="005D055D">
        <w:rPr>
          <w:rFonts w:ascii="Times New Roman" w:hAnsi="Times New Roman" w:cs="Times New Roman"/>
          <w:sz w:val="24"/>
          <w:szCs w:val="24"/>
        </w:rPr>
        <w:t xml:space="preserve"> a fines de los 80</w:t>
      </w:r>
      <w:r>
        <w:rPr>
          <w:rFonts w:ascii="Times New Roman" w:hAnsi="Times New Roman" w:cs="Times New Roman"/>
          <w:sz w:val="24"/>
          <w:szCs w:val="24"/>
        </w:rPr>
        <w:t>,</w:t>
      </w:r>
      <w:r w:rsidR="005D055D">
        <w:rPr>
          <w:rFonts w:ascii="Times New Roman" w:hAnsi="Times New Roman" w:cs="Times New Roman"/>
          <w:sz w:val="24"/>
          <w:szCs w:val="24"/>
        </w:rPr>
        <w:t xml:space="preserve"> de una oposición de izquierda aglutinada en el Frente Democrático Nacional, que luego constituiría el Partido de la Revolución Democrática</w:t>
      </w:r>
      <w:r w:rsidR="00A30ACC">
        <w:rPr>
          <w:rFonts w:ascii="Times New Roman" w:hAnsi="Times New Roman" w:cs="Times New Roman"/>
          <w:sz w:val="24"/>
          <w:szCs w:val="24"/>
        </w:rPr>
        <w:t xml:space="preserve"> (PRD)</w:t>
      </w:r>
      <w:r w:rsidR="005D055D">
        <w:rPr>
          <w:rFonts w:ascii="Times New Roman" w:hAnsi="Times New Roman" w:cs="Times New Roman"/>
          <w:sz w:val="24"/>
          <w:szCs w:val="24"/>
        </w:rPr>
        <w:t xml:space="preserve">, </w:t>
      </w:r>
      <w:r>
        <w:rPr>
          <w:rFonts w:ascii="Times New Roman" w:hAnsi="Times New Roman" w:cs="Times New Roman"/>
          <w:sz w:val="24"/>
          <w:szCs w:val="24"/>
        </w:rPr>
        <w:t>que obte</w:t>
      </w:r>
      <w:r w:rsidR="00460048">
        <w:rPr>
          <w:rFonts w:ascii="Times New Roman" w:hAnsi="Times New Roman" w:cs="Times New Roman"/>
          <w:sz w:val="24"/>
          <w:szCs w:val="24"/>
        </w:rPr>
        <w:t>ndría un notable apoyo</w:t>
      </w:r>
      <w:r>
        <w:rPr>
          <w:rFonts w:ascii="Times New Roman" w:hAnsi="Times New Roman" w:cs="Times New Roman"/>
          <w:sz w:val="24"/>
          <w:szCs w:val="24"/>
        </w:rPr>
        <w:t xml:space="preserve"> en la elección presidencial del 88 y sobre la cual </w:t>
      </w:r>
      <w:r w:rsidR="00475DF3">
        <w:rPr>
          <w:rFonts w:ascii="Times New Roman" w:hAnsi="Times New Roman" w:cs="Times New Roman"/>
          <w:sz w:val="24"/>
          <w:szCs w:val="24"/>
        </w:rPr>
        <w:t>reclamaría ser víctima de fraude, convirtió</w:t>
      </w:r>
      <w:r w:rsidR="005D055D">
        <w:rPr>
          <w:rFonts w:ascii="Times New Roman" w:hAnsi="Times New Roman" w:cs="Times New Roman"/>
          <w:sz w:val="24"/>
          <w:szCs w:val="24"/>
        </w:rPr>
        <w:t xml:space="preserve"> el tema electoral en la materia privilegiada del debate político y de las demandas de la oposición.</w:t>
      </w:r>
      <w:r w:rsidR="00C45261">
        <w:rPr>
          <w:rFonts w:ascii="Times New Roman" w:hAnsi="Times New Roman" w:cs="Times New Roman"/>
          <w:sz w:val="24"/>
          <w:szCs w:val="24"/>
        </w:rPr>
        <w:t xml:space="preserve"> </w:t>
      </w:r>
    </w:p>
    <w:p w14:paraId="089A23FA" w14:textId="77777777" w:rsidR="00F45217" w:rsidRDefault="005B48A8"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En esa etapa</w:t>
      </w:r>
      <w:r w:rsidR="00847449">
        <w:rPr>
          <w:rFonts w:ascii="Times New Roman" w:hAnsi="Times New Roman" w:cs="Times New Roman"/>
          <w:sz w:val="24"/>
          <w:szCs w:val="24"/>
        </w:rPr>
        <w:t>, algunos de los principales conflictos post- electorales no fueron resueltos a través de los tribunales, dada su incapacida</w:t>
      </w:r>
      <w:r w:rsidR="0080046A">
        <w:rPr>
          <w:rFonts w:ascii="Times New Roman" w:hAnsi="Times New Roman" w:cs="Times New Roman"/>
          <w:sz w:val="24"/>
          <w:szCs w:val="24"/>
        </w:rPr>
        <w:t xml:space="preserve">d, sino por acuerdos informales que fueron conocidos como </w:t>
      </w:r>
      <w:r w:rsidR="00847449">
        <w:rPr>
          <w:rFonts w:ascii="Times New Roman" w:hAnsi="Times New Roman" w:cs="Times New Roman"/>
          <w:sz w:val="24"/>
          <w:szCs w:val="24"/>
        </w:rPr>
        <w:t>“concertacesiones” (Eisenstadt, 2006).</w:t>
      </w:r>
      <w:r w:rsidR="001F6AB4">
        <w:rPr>
          <w:rFonts w:ascii="Times New Roman" w:hAnsi="Times New Roman" w:cs="Times New Roman"/>
          <w:sz w:val="24"/>
          <w:szCs w:val="24"/>
        </w:rPr>
        <w:t xml:space="preserve"> Entre 1988 y 1996 se produjeron al menos cinco conflictos postelectorales de relevancia </w:t>
      </w:r>
      <w:r w:rsidR="005F34E6">
        <w:rPr>
          <w:rFonts w:ascii="Times New Roman" w:hAnsi="Times New Roman" w:cs="Times New Roman"/>
          <w:sz w:val="24"/>
          <w:szCs w:val="24"/>
        </w:rPr>
        <w:t xml:space="preserve">entre el PRI y el PAN </w:t>
      </w:r>
      <w:r w:rsidR="001F6AB4">
        <w:rPr>
          <w:rFonts w:ascii="Times New Roman" w:hAnsi="Times New Roman" w:cs="Times New Roman"/>
          <w:sz w:val="24"/>
          <w:szCs w:val="24"/>
        </w:rPr>
        <w:t>donde la solución no se dio a través de la revisión del proceso electoral por parte de la autoridad</w:t>
      </w:r>
      <w:r w:rsidR="0080046A">
        <w:rPr>
          <w:rFonts w:ascii="Times New Roman" w:hAnsi="Times New Roman" w:cs="Times New Roman"/>
          <w:sz w:val="24"/>
          <w:szCs w:val="24"/>
        </w:rPr>
        <w:t xml:space="preserve"> formalmente competente</w:t>
      </w:r>
      <w:r w:rsidR="001F6AB4">
        <w:rPr>
          <w:rFonts w:ascii="Times New Roman" w:hAnsi="Times New Roman" w:cs="Times New Roman"/>
          <w:sz w:val="24"/>
          <w:szCs w:val="24"/>
        </w:rPr>
        <w:t xml:space="preserve"> para encontrar al ganador de acuerdo a la l</w:t>
      </w:r>
      <w:r w:rsidR="000613D3">
        <w:rPr>
          <w:rFonts w:ascii="Times New Roman" w:hAnsi="Times New Roman" w:cs="Times New Roman"/>
          <w:sz w:val="24"/>
          <w:szCs w:val="24"/>
        </w:rPr>
        <w:t xml:space="preserve">ey, sino por acuerdos </w:t>
      </w:r>
      <w:r w:rsidR="001F6AB4">
        <w:rPr>
          <w:rFonts w:ascii="Times New Roman" w:hAnsi="Times New Roman" w:cs="Times New Roman"/>
          <w:sz w:val="24"/>
          <w:szCs w:val="24"/>
        </w:rPr>
        <w:t>donde el que alegaba haber ganado podía incluso renunciar a su triunfo</w:t>
      </w:r>
      <w:r w:rsidR="00F4604B">
        <w:rPr>
          <w:rFonts w:ascii="Times New Roman" w:hAnsi="Times New Roman" w:cs="Times New Roman"/>
          <w:sz w:val="24"/>
          <w:szCs w:val="24"/>
        </w:rPr>
        <w:t xml:space="preserve"> </w:t>
      </w:r>
      <w:r w:rsidR="0080046A">
        <w:rPr>
          <w:rFonts w:ascii="Times New Roman" w:hAnsi="Times New Roman" w:cs="Times New Roman"/>
          <w:sz w:val="24"/>
          <w:szCs w:val="24"/>
        </w:rPr>
        <w:t xml:space="preserve">en virtud de arreglos políticos </w:t>
      </w:r>
      <w:r w:rsidR="00F4604B">
        <w:rPr>
          <w:rFonts w:ascii="Times New Roman" w:hAnsi="Times New Roman" w:cs="Times New Roman"/>
          <w:sz w:val="24"/>
          <w:szCs w:val="24"/>
        </w:rPr>
        <w:t>(Eisenstadt, 2006)</w:t>
      </w:r>
      <w:r w:rsidR="001F6AB4">
        <w:rPr>
          <w:rFonts w:ascii="Times New Roman" w:hAnsi="Times New Roman" w:cs="Times New Roman"/>
          <w:sz w:val="24"/>
          <w:szCs w:val="24"/>
        </w:rPr>
        <w:t>.</w:t>
      </w:r>
      <w:r w:rsidR="000613D3">
        <w:rPr>
          <w:rFonts w:ascii="Times New Roman" w:hAnsi="Times New Roman" w:cs="Times New Roman"/>
          <w:sz w:val="24"/>
          <w:szCs w:val="24"/>
        </w:rPr>
        <w:t xml:space="preserve"> Más aún,</w:t>
      </w:r>
      <w:r w:rsidR="00847449">
        <w:rPr>
          <w:rFonts w:ascii="Times New Roman" w:hAnsi="Times New Roman" w:cs="Times New Roman"/>
          <w:sz w:val="24"/>
          <w:szCs w:val="24"/>
        </w:rPr>
        <w:t xml:space="preserve"> los primeros triun</w:t>
      </w:r>
      <w:r w:rsidR="000613D3">
        <w:rPr>
          <w:rFonts w:ascii="Times New Roman" w:hAnsi="Times New Roman" w:cs="Times New Roman"/>
          <w:sz w:val="24"/>
          <w:szCs w:val="24"/>
        </w:rPr>
        <w:t>fos electorales de la oposición</w:t>
      </w:r>
      <w:r w:rsidR="00847449">
        <w:rPr>
          <w:rFonts w:ascii="Times New Roman" w:hAnsi="Times New Roman" w:cs="Times New Roman"/>
          <w:sz w:val="24"/>
          <w:szCs w:val="24"/>
        </w:rPr>
        <w:t xml:space="preserve"> no fueron resultado únicamente de fallos emitidos por las autoridades formalmente competentes, sino de una decisión política</w:t>
      </w:r>
      <w:r w:rsidR="000613D3">
        <w:rPr>
          <w:rFonts w:ascii="Times New Roman" w:hAnsi="Times New Roman" w:cs="Times New Roman"/>
          <w:sz w:val="24"/>
          <w:szCs w:val="24"/>
        </w:rPr>
        <w:t xml:space="preserve"> previa</w:t>
      </w:r>
      <w:r w:rsidR="00460048">
        <w:rPr>
          <w:rFonts w:ascii="Times New Roman" w:hAnsi="Times New Roman" w:cs="Times New Roman"/>
          <w:sz w:val="24"/>
          <w:szCs w:val="24"/>
        </w:rPr>
        <w:t>, que el PRI debió acatar pese a su desacuerdo,</w:t>
      </w:r>
      <w:r w:rsidR="00847449">
        <w:rPr>
          <w:rFonts w:ascii="Times New Roman" w:hAnsi="Times New Roman" w:cs="Times New Roman"/>
          <w:sz w:val="24"/>
          <w:szCs w:val="24"/>
        </w:rPr>
        <w:t xml:space="preserve"> </w:t>
      </w:r>
      <w:r w:rsidR="001F6AB4">
        <w:rPr>
          <w:rFonts w:ascii="Times New Roman" w:hAnsi="Times New Roman" w:cs="Times New Roman"/>
          <w:sz w:val="24"/>
          <w:szCs w:val="24"/>
        </w:rPr>
        <w:t>por parte de la presidencia</w:t>
      </w:r>
      <w:r w:rsidR="000613D3">
        <w:rPr>
          <w:rFonts w:ascii="Times New Roman" w:hAnsi="Times New Roman" w:cs="Times New Roman"/>
          <w:sz w:val="24"/>
          <w:szCs w:val="24"/>
        </w:rPr>
        <w:t xml:space="preserve"> de la República</w:t>
      </w:r>
      <w:r w:rsidR="001F6AB4">
        <w:rPr>
          <w:rFonts w:ascii="Times New Roman" w:hAnsi="Times New Roman" w:cs="Times New Roman"/>
          <w:sz w:val="24"/>
          <w:szCs w:val="24"/>
        </w:rPr>
        <w:t>, como fue el caso del primer triunfo del PAN en una gubernatura, la</w:t>
      </w:r>
      <w:r w:rsidR="000613D3">
        <w:rPr>
          <w:rFonts w:ascii="Times New Roman" w:hAnsi="Times New Roman" w:cs="Times New Roman"/>
          <w:sz w:val="24"/>
          <w:szCs w:val="24"/>
        </w:rPr>
        <w:t xml:space="preserve"> del estado</w:t>
      </w:r>
      <w:r w:rsidR="001F6AB4">
        <w:rPr>
          <w:rFonts w:ascii="Times New Roman" w:hAnsi="Times New Roman" w:cs="Times New Roman"/>
          <w:sz w:val="24"/>
          <w:szCs w:val="24"/>
        </w:rPr>
        <w:t xml:space="preserve"> de Baja California en 1989.</w:t>
      </w:r>
      <w:r w:rsidR="00847449">
        <w:rPr>
          <w:rFonts w:ascii="Times New Roman" w:hAnsi="Times New Roman" w:cs="Times New Roman"/>
          <w:sz w:val="24"/>
          <w:szCs w:val="24"/>
        </w:rPr>
        <w:t xml:space="preserve"> </w:t>
      </w:r>
      <w:r w:rsidR="005F34E6">
        <w:rPr>
          <w:rFonts w:ascii="Times New Roman" w:hAnsi="Times New Roman" w:cs="Times New Roman"/>
          <w:sz w:val="24"/>
          <w:szCs w:val="24"/>
        </w:rPr>
        <w:t>Si bien las llamadas “concertacesiones” respondían a la incapacidad de los canales institucionales</w:t>
      </w:r>
      <w:r w:rsidR="000613D3">
        <w:rPr>
          <w:rFonts w:ascii="Times New Roman" w:hAnsi="Times New Roman" w:cs="Times New Roman"/>
          <w:sz w:val="24"/>
          <w:szCs w:val="24"/>
        </w:rPr>
        <w:t xml:space="preserve"> para resolver los conflictos</w:t>
      </w:r>
      <w:r w:rsidR="005F34E6">
        <w:rPr>
          <w:rFonts w:ascii="Times New Roman" w:hAnsi="Times New Roman" w:cs="Times New Roman"/>
          <w:sz w:val="24"/>
          <w:szCs w:val="24"/>
        </w:rPr>
        <w:t xml:space="preserve">, y podían estar justificadas en términos de avanzar </w:t>
      </w:r>
      <w:r w:rsidR="000613D3">
        <w:rPr>
          <w:rFonts w:ascii="Times New Roman" w:hAnsi="Times New Roman" w:cs="Times New Roman"/>
          <w:sz w:val="24"/>
          <w:szCs w:val="24"/>
        </w:rPr>
        <w:t>gradualmente en el proceso de</w:t>
      </w:r>
      <w:r w:rsidR="005F34E6">
        <w:rPr>
          <w:rFonts w:ascii="Times New Roman" w:hAnsi="Times New Roman" w:cs="Times New Roman"/>
          <w:sz w:val="24"/>
          <w:szCs w:val="24"/>
        </w:rPr>
        <w:t xml:space="preserve"> transició</w:t>
      </w:r>
      <w:r w:rsidR="000613D3">
        <w:rPr>
          <w:rFonts w:ascii="Times New Roman" w:hAnsi="Times New Roman" w:cs="Times New Roman"/>
          <w:sz w:val="24"/>
          <w:szCs w:val="24"/>
        </w:rPr>
        <w:t>n, el hecho es que éstas minaron</w:t>
      </w:r>
      <w:r w:rsidR="005F34E6">
        <w:rPr>
          <w:rFonts w:ascii="Times New Roman" w:hAnsi="Times New Roman" w:cs="Times New Roman"/>
          <w:sz w:val="24"/>
          <w:szCs w:val="24"/>
        </w:rPr>
        <w:t xml:space="preserve"> aún más el</w:t>
      </w:r>
      <w:r w:rsidR="000613D3">
        <w:rPr>
          <w:rFonts w:ascii="Times New Roman" w:hAnsi="Times New Roman" w:cs="Times New Roman"/>
          <w:sz w:val="24"/>
          <w:szCs w:val="24"/>
        </w:rPr>
        <w:t xml:space="preserve"> ya débil</w:t>
      </w:r>
      <w:r w:rsidR="005F34E6">
        <w:rPr>
          <w:rFonts w:ascii="Times New Roman" w:hAnsi="Times New Roman" w:cs="Times New Roman"/>
          <w:sz w:val="24"/>
          <w:szCs w:val="24"/>
        </w:rPr>
        <w:t xml:space="preserve"> Estado de derecho (Eisenstadt, 2006, p. 246). </w:t>
      </w:r>
    </w:p>
    <w:p w14:paraId="1C62DEAD" w14:textId="77777777" w:rsidR="00AC6D19" w:rsidRDefault="0056253C"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Un momento clave en el desarrollo de las reformas electorales fue cuando en 1990 se creó</w:t>
      </w:r>
      <w:r w:rsidR="00C45261">
        <w:rPr>
          <w:rFonts w:ascii="Times New Roman" w:hAnsi="Times New Roman" w:cs="Times New Roman"/>
          <w:sz w:val="24"/>
          <w:szCs w:val="24"/>
        </w:rPr>
        <w:t xml:space="preserve"> el I</w:t>
      </w:r>
      <w:r w:rsidR="00AC6D19">
        <w:rPr>
          <w:rFonts w:ascii="Times New Roman" w:hAnsi="Times New Roman" w:cs="Times New Roman"/>
          <w:sz w:val="24"/>
          <w:szCs w:val="24"/>
        </w:rPr>
        <w:t xml:space="preserve">nstituto </w:t>
      </w:r>
      <w:r w:rsidR="00C45261">
        <w:rPr>
          <w:rFonts w:ascii="Times New Roman" w:hAnsi="Times New Roman" w:cs="Times New Roman"/>
          <w:sz w:val="24"/>
          <w:szCs w:val="24"/>
        </w:rPr>
        <w:t>F</w:t>
      </w:r>
      <w:r w:rsidR="00AC6D19">
        <w:rPr>
          <w:rFonts w:ascii="Times New Roman" w:hAnsi="Times New Roman" w:cs="Times New Roman"/>
          <w:sz w:val="24"/>
          <w:szCs w:val="24"/>
        </w:rPr>
        <w:t xml:space="preserve">ederal </w:t>
      </w:r>
      <w:r w:rsidR="00C45261">
        <w:rPr>
          <w:rFonts w:ascii="Times New Roman" w:hAnsi="Times New Roman" w:cs="Times New Roman"/>
          <w:sz w:val="24"/>
          <w:szCs w:val="24"/>
        </w:rPr>
        <w:t>E</w:t>
      </w:r>
      <w:r w:rsidR="00AC6D19">
        <w:rPr>
          <w:rFonts w:ascii="Times New Roman" w:hAnsi="Times New Roman" w:cs="Times New Roman"/>
          <w:sz w:val="24"/>
          <w:szCs w:val="24"/>
        </w:rPr>
        <w:t>lectoral</w:t>
      </w:r>
      <w:r>
        <w:rPr>
          <w:rFonts w:ascii="Times New Roman" w:hAnsi="Times New Roman" w:cs="Times New Roman"/>
          <w:sz w:val="24"/>
          <w:szCs w:val="24"/>
        </w:rPr>
        <w:t xml:space="preserve"> (IFE)</w:t>
      </w:r>
      <w:r w:rsidR="00C45261">
        <w:rPr>
          <w:rFonts w:ascii="Times New Roman" w:hAnsi="Times New Roman" w:cs="Times New Roman"/>
          <w:sz w:val="24"/>
          <w:szCs w:val="24"/>
        </w:rPr>
        <w:t>, como respuesta a la crisis</w:t>
      </w:r>
      <w:r>
        <w:rPr>
          <w:rFonts w:ascii="Times New Roman" w:hAnsi="Times New Roman" w:cs="Times New Roman"/>
          <w:sz w:val="24"/>
          <w:szCs w:val="24"/>
        </w:rPr>
        <w:t xml:space="preserve"> política</w:t>
      </w:r>
      <w:r w:rsidR="00C45261">
        <w:rPr>
          <w:rFonts w:ascii="Times New Roman" w:hAnsi="Times New Roman" w:cs="Times New Roman"/>
          <w:sz w:val="24"/>
          <w:szCs w:val="24"/>
        </w:rPr>
        <w:t xml:space="preserve"> derivada de la elección </w:t>
      </w:r>
      <w:r>
        <w:rPr>
          <w:rFonts w:ascii="Times New Roman" w:hAnsi="Times New Roman" w:cs="Times New Roman"/>
          <w:sz w:val="24"/>
          <w:szCs w:val="24"/>
        </w:rPr>
        <w:t>presidencial de 19</w:t>
      </w:r>
      <w:r w:rsidR="00C45261">
        <w:rPr>
          <w:rFonts w:ascii="Times New Roman" w:hAnsi="Times New Roman" w:cs="Times New Roman"/>
          <w:sz w:val="24"/>
          <w:szCs w:val="24"/>
        </w:rPr>
        <w:t>88.</w:t>
      </w:r>
      <w:r w:rsidR="00AC6D19">
        <w:rPr>
          <w:rFonts w:ascii="Times New Roman" w:hAnsi="Times New Roman" w:cs="Times New Roman"/>
          <w:sz w:val="24"/>
          <w:szCs w:val="24"/>
        </w:rPr>
        <w:t xml:space="preserve"> El nu</w:t>
      </w:r>
      <w:r>
        <w:rPr>
          <w:rFonts w:ascii="Times New Roman" w:hAnsi="Times New Roman" w:cs="Times New Roman"/>
          <w:sz w:val="24"/>
          <w:szCs w:val="24"/>
        </w:rPr>
        <w:t xml:space="preserve">evo órgano electoral se integraba </w:t>
      </w:r>
      <w:r w:rsidR="00460048">
        <w:rPr>
          <w:rFonts w:ascii="Times New Roman" w:hAnsi="Times New Roman" w:cs="Times New Roman"/>
          <w:sz w:val="24"/>
          <w:szCs w:val="24"/>
        </w:rPr>
        <w:t>con la</w:t>
      </w:r>
      <w:r w:rsidR="00AC6D19">
        <w:rPr>
          <w:rFonts w:ascii="Times New Roman" w:hAnsi="Times New Roman" w:cs="Times New Roman"/>
          <w:sz w:val="24"/>
          <w:szCs w:val="24"/>
        </w:rPr>
        <w:t xml:space="preserve"> representación de los tres poderes, dejando de ser</w:t>
      </w:r>
      <w:r>
        <w:rPr>
          <w:rFonts w:ascii="Times New Roman" w:hAnsi="Times New Roman" w:cs="Times New Roman"/>
          <w:sz w:val="24"/>
          <w:szCs w:val="24"/>
        </w:rPr>
        <w:t xml:space="preserve"> una autoridad totalmente sujeta al </w:t>
      </w:r>
      <w:r w:rsidR="00AC6D19">
        <w:rPr>
          <w:rFonts w:ascii="Times New Roman" w:hAnsi="Times New Roman" w:cs="Times New Roman"/>
          <w:sz w:val="24"/>
          <w:szCs w:val="24"/>
        </w:rPr>
        <w:t>Ejecutivo</w:t>
      </w:r>
      <w:r>
        <w:rPr>
          <w:rFonts w:ascii="Times New Roman" w:hAnsi="Times New Roman" w:cs="Times New Roman"/>
          <w:sz w:val="24"/>
          <w:szCs w:val="24"/>
        </w:rPr>
        <w:t xml:space="preserve"> federal,</w:t>
      </w:r>
      <w:r w:rsidR="00AC6D19">
        <w:rPr>
          <w:rFonts w:ascii="Times New Roman" w:hAnsi="Times New Roman" w:cs="Times New Roman"/>
          <w:sz w:val="24"/>
          <w:szCs w:val="24"/>
        </w:rPr>
        <w:t xml:space="preserve"> como hasta entonces. Así, había consejeros magistrados y c</w:t>
      </w:r>
      <w:r>
        <w:rPr>
          <w:rFonts w:ascii="Times New Roman" w:hAnsi="Times New Roman" w:cs="Times New Roman"/>
          <w:sz w:val="24"/>
          <w:szCs w:val="24"/>
        </w:rPr>
        <w:t>onsejeros del Poder Legislativo, sin embargo el Ejecutivo mantenía superioridad en el control del órgano, pues la presidencia de su Consejo General era atribución del</w:t>
      </w:r>
      <w:r w:rsidR="00F45217">
        <w:rPr>
          <w:rFonts w:ascii="Times New Roman" w:hAnsi="Times New Roman" w:cs="Times New Roman"/>
          <w:sz w:val="24"/>
          <w:szCs w:val="24"/>
        </w:rPr>
        <w:t xml:space="preserve"> secretario de g</w:t>
      </w:r>
      <w:r w:rsidR="00AC6D19">
        <w:rPr>
          <w:rFonts w:ascii="Times New Roman" w:hAnsi="Times New Roman" w:cs="Times New Roman"/>
          <w:sz w:val="24"/>
          <w:szCs w:val="24"/>
        </w:rPr>
        <w:t xml:space="preserve">obernación. </w:t>
      </w:r>
      <w:r>
        <w:rPr>
          <w:rFonts w:ascii="Times New Roman" w:hAnsi="Times New Roman" w:cs="Times New Roman"/>
          <w:sz w:val="24"/>
          <w:szCs w:val="24"/>
        </w:rPr>
        <w:t xml:space="preserve">Pese a ello, se dio un paso en la dirección correcta al constituir a la autoridad electoral como </w:t>
      </w:r>
      <w:r w:rsidR="00AC6D19">
        <w:rPr>
          <w:rFonts w:ascii="Times New Roman" w:hAnsi="Times New Roman" w:cs="Times New Roman"/>
          <w:sz w:val="24"/>
          <w:szCs w:val="24"/>
        </w:rPr>
        <w:t xml:space="preserve">un órgano del Estado y no del gobierno en turno. Otra novedad </w:t>
      </w:r>
      <w:r w:rsidR="00747AD0">
        <w:rPr>
          <w:rFonts w:ascii="Times New Roman" w:hAnsi="Times New Roman" w:cs="Times New Roman"/>
          <w:sz w:val="24"/>
          <w:szCs w:val="24"/>
        </w:rPr>
        <w:t>i</w:t>
      </w:r>
      <w:r w:rsidR="00AC6D19">
        <w:rPr>
          <w:rFonts w:ascii="Times New Roman" w:hAnsi="Times New Roman" w:cs="Times New Roman"/>
          <w:sz w:val="24"/>
          <w:szCs w:val="24"/>
        </w:rPr>
        <w:t>mportante fue la profesionalización del personal del Instituto,</w:t>
      </w:r>
      <w:r w:rsidR="00747AD0">
        <w:rPr>
          <w:rFonts w:ascii="Times New Roman" w:hAnsi="Times New Roman" w:cs="Times New Roman"/>
          <w:sz w:val="24"/>
          <w:szCs w:val="24"/>
        </w:rPr>
        <w:t xml:space="preserve"> pues</w:t>
      </w:r>
      <w:r w:rsidR="00AC6D19">
        <w:rPr>
          <w:rFonts w:ascii="Times New Roman" w:hAnsi="Times New Roman" w:cs="Times New Roman"/>
          <w:sz w:val="24"/>
          <w:szCs w:val="24"/>
        </w:rPr>
        <w:t xml:space="preserve"> quedó establecido constitucionalmente que </w:t>
      </w:r>
      <w:r w:rsidR="00B0269A">
        <w:rPr>
          <w:rFonts w:ascii="Times New Roman" w:hAnsi="Times New Roman" w:cs="Times New Roman"/>
          <w:sz w:val="24"/>
          <w:szCs w:val="24"/>
        </w:rPr>
        <w:t xml:space="preserve">los órganos ejecutivos y técnicos contarían con el personal calificado de acuerdo a un servicio civil de carrera, lo cual terminaría con la politización e improvisación tradicional en la designación </w:t>
      </w:r>
      <w:r w:rsidR="00460048">
        <w:rPr>
          <w:rFonts w:ascii="Times New Roman" w:hAnsi="Times New Roman" w:cs="Times New Roman"/>
          <w:sz w:val="24"/>
          <w:szCs w:val="24"/>
        </w:rPr>
        <w:t>del sus integrantes</w:t>
      </w:r>
      <w:r w:rsidR="00B0269A">
        <w:rPr>
          <w:rFonts w:ascii="Times New Roman" w:hAnsi="Times New Roman" w:cs="Times New Roman"/>
          <w:sz w:val="24"/>
          <w:szCs w:val="24"/>
        </w:rPr>
        <w:t xml:space="preserve">, dotando a las funciones del Instituto de una mayor certidumbre y calidad al constituirse de un personal permanente y profesional. </w:t>
      </w:r>
      <w:r w:rsidR="00747AD0">
        <w:rPr>
          <w:rFonts w:ascii="Times New Roman" w:hAnsi="Times New Roman" w:cs="Times New Roman"/>
          <w:sz w:val="24"/>
          <w:szCs w:val="24"/>
        </w:rPr>
        <w:t xml:space="preserve"> Asimismo, s</w:t>
      </w:r>
      <w:r w:rsidR="00B0269A">
        <w:rPr>
          <w:rFonts w:ascii="Times New Roman" w:hAnsi="Times New Roman" w:cs="Times New Roman"/>
          <w:sz w:val="24"/>
          <w:szCs w:val="24"/>
        </w:rPr>
        <w:t xml:space="preserve">e creó un cuerpo permanente dentro de la estructura del Instituto, la Junta General Ejecutiva, responsable de todas las tareas técnicas y administrativas. </w:t>
      </w:r>
    </w:p>
    <w:p w14:paraId="180556CF" w14:textId="77777777" w:rsidR="000449C2" w:rsidRDefault="00AC6D19"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3E6317">
        <w:rPr>
          <w:rFonts w:ascii="Times New Roman" w:hAnsi="Times New Roman" w:cs="Times New Roman"/>
          <w:sz w:val="24"/>
          <w:szCs w:val="24"/>
        </w:rPr>
        <w:t>a reforma que dio lugar a la creación del IFE fue sólo la primera de una serie de reformas electo</w:t>
      </w:r>
      <w:r w:rsidR="00F41B4F">
        <w:rPr>
          <w:rFonts w:ascii="Times New Roman" w:hAnsi="Times New Roman" w:cs="Times New Roman"/>
          <w:sz w:val="24"/>
          <w:szCs w:val="24"/>
        </w:rPr>
        <w:t>rales. En 19</w:t>
      </w:r>
      <w:r w:rsidR="00B0269A">
        <w:rPr>
          <w:rFonts w:ascii="Times New Roman" w:hAnsi="Times New Roman" w:cs="Times New Roman"/>
          <w:sz w:val="24"/>
          <w:szCs w:val="24"/>
        </w:rPr>
        <w:t>93</w:t>
      </w:r>
      <w:r w:rsidR="00E90450">
        <w:rPr>
          <w:rFonts w:ascii="Times New Roman" w:hAnsi="Times New Roman" w:cs="Times New Roman"/>
          <w:sz w:val="24"/>
          <w:szCs w:val="24"/>
        </w:rPr>
        <w:t xml:space="preserve"> se continuó en la línea de reducir</w:t>
      </w:r>
      <w:r w:rsidR="00B0269A">
        <w:rPr>
          <w:rFonts w:ascii="Times New Roman" w:hAnsi="Times New Roman" w:cs="Times New Roman"/>
          <w:sz w:val="24"/>
          <w:szCs w:val="24"/>
        </w:rPr>
        <w:t xml:space="preserve"> la influencia del </w:t>
      </w:r>
      <w:r w:rsidR="007C49C0">
        <w:rPr>
          <w:rFonts w:ascii="Times New Roman" w:hAnsi="Times New Roman" w:cs="Times New Roman"/>
          <w:sz w:val="24"/>
          <w:szCs w:val="24"/>
        </w:rPr>
        <w:t>Ejecutivo sobre la estructura del IFE, se establecieron</w:t>
      </w:r>
      <w:r w:rsidR="00F41B4F">
        <w:rPr>
          <w:rFonts w:ascii="Times New Roman" w:hAnsi="Times New Roman" w:cs="Times New Roman"/>
          <w:sz w:val="24"/>
          <w:szCs w:val="24"/>
        </w:rPr>
        <w:t>, por primera vez,</w:t>
      </w:r>
      <w:r w:rsidR="007C49C0">
        <w:rPr>
          <w:rFonts w:ascii="Times New Roman" w:hAnsi="Times New Roman" w:cs="Times New Roman"/>
          <w:sz w:val="24"/>
          <w:szCs w:val="24"/>
        </w:rPr>
        <w:t xml:space="preserve"> l</w:t>
      </w:r>
      <w:r w:rsidR="00F41B4F">
        <w:rPr>
          <w:rFonts w:ascii="Times New Roman" w:hAnsi="Times New Roman" w:cs="Times New Roman"/>
          <w:sz w:val="24"/>
          <w:szCs w:val="24"/>
        </w:rPr>
        <w:t>ímites a los gastos de campaña</w:t>
      </w:r>
      <w:r w:rsidR="007C49C0">
        <w:rPr>
          <w:rFonts w:ascii="Times New Roman" w:hAnsi="Times New Roman" w:cs="Times New Roman"/>
          <w:sz w:val="24"/>
          <w:szCs w:val="24"/>
        </w:rPr>
        <w:t>, se modificó el procedimiento para el nombramiento de l</w:t>
      </w:r>
      <w:r w:rsidR="00F41B4F">
        <w:rPr>
          <w:rFonts w:ascii="Times New Roman" w:hAnsi="Times New Roman" w:cs="Times New Roman"/>
          <w:sz w:val="24"/>
          <w:szCs w:val="24"/>
        </w:rPr>
        <w:t>os funcionarios de casilla</w:t>
      </w:r>
      <w:r w:rsidR="00E90450">
        <w:rPr>
          <w:rFonts w:ascii="Times New Roman" w:hAnsi="Times New Roman" w:cs="Times New Roman"/>
          <w:sz w:val="24"/>
          <w:szCs w:val="24"/>
        </w:rPr>
        <w:t xml:space="preserve">, </w:t>
      </w:r>
      <w:r w:rsidR="00E90450">
        <w:rPr>
          <w:rFonts w:ascii="Times New Roman" w:hAnsi="Times New Roman" w:cs="Times New Roman"/>
          <w:sz w:val="24"/>
          <w:szCs w:val="24"/>
        </w:rPr>
        <w:lastRenderedPageBreak/>
        <w:t xml:space="preserve">estableciéndose </w:t>
      </w:r>
      <w:r w:rsidR="007C49C0">
        <w:rPr>
          <w:rFonts w:ascii="Times New Roman" w:hAnsi="Times New Roman" w:cs="Times New Roman"/>
          <w:sz w:val="24"/>
          <w:szCs w:val="24"/>
        </w:rPr>
        <w:t xml:space="preserve">un método aleatorio que daría mayor certeza e imparcialidad al proceso de captación y conteo de los votos y se introdujeron los observadores </w:t>
      </w:r>
      <w:r w:rsidR="00F41B4F">
        <w:rPr>
          <w:rFonts w:ascii="Times New Roman" w:hAnsi="Times New Roman" w:cs="Times New Roman"/>
          <w:sz w:val="24"/>
          <w:szCs w:val="24"/>
        </w:rPr>
        <w:t>electorales nacionales. En 1994</w:t>
      </w:r>
      <w:r w:rsidR="00E90450">
        <w:rPr>
          <w:rFonts w:ascii="Times New Roman" w:hAnsi="Times New Roman" w:cs="Times New Roman"/>
          <w:sz w:val="24"/>
          <w:szCs w:val="24"/>
        </w:rPr>
        <w:t>, apenas dos meses antes de la elección presidencial,</w:t>
      </w:r>
      <w:r>
        <w:rPr>
          <w:rFonts w:ascii="Times New Roman" w:hAnsi="Times New Roman" w:cs="Times New Roman"/>
          <w:sz w:val="24"/>
          <w:szCs w:val="24"/>
        </w:rPr>
        <w:t xml:space="preserve"> </w:t>
      </w:r>
      <w:r w:rsidR="00EC2BAD">
        <w:rPr>
          <w:rFonts w:ascii="Times New Roman" w:hAnsi="Times New Roman" w:cs="Times New Roman"/>
          <w:sz w:val="24"/>
          <w:szCs w:val="24"/>
        </w:rPr>
        <w:t>se tuvo que hacer una</w:t>
      </w:r>
      <w:r w:rsidR="00E90450">
        <w:rPr>
          <w:rFonts w:ascii="Times New Roman" w:hAnsi="Times New Roman" w:cs="Times New Roman"/>
          <w:sz w:val="24"/>
          <w:szCs w:val="24"/>
        </w:rPr>
        <w:t xml:space="preserve"> nueva</w:t>
      </w:r>
      <w:r w:rsidR="00EC2BAD">
        <w:rPr>
          <w:rFonts w:ascii="Times New Roman" w:hAnsi="Times New Roman" w:cs="Times New Roman"/>
          <w:sz w:val="24"/>
          <w:szCs w:val="24"/>
        </w:rPr>
        <w:t xml:space="preserve"> reforma electoral</w:t>
      </w:r>
      <w:r w:rsidR="00E90450">
        <w:rPr>
          <w:rFonts w:ascii="Times New Roman" w:hAnsi="Times New Roman" w:cs="Times New Roman"/>
          <w:sz w:val="24"/>
          <w:szCs w:val="24"/>
        </w:rPr>
        <w:t xml:space="preserve">, en esa ocasión por </w:t>
      </w:r>
      <w:r w:rsidR="00EC2BAD">
        <w:rPr>
          <w:rFonts w:ascii="Times New Roman" w:hAnsi="Times New Roman" w:cs="Times New Roman"/>
          <w:sz w:val="24"/>
          <w:szCs w:val="24"/>
        </w:rPr>
        <w:t>la</w:t>
      </w:r>
      <w:r w:rsidR="00460048">
        <w:rPr>
          <w:rFonts w:ascii="Times New Roman" w:hAnsi="Times New Roman" w:cs="Times New Roman"/>
          <w:sz w:val="24"/>
          <w:szCs w:val="24"/>
        </w:rPr>
        <w:t xml:space="preserve"> emergencia</w:t>
      </w:r>
      <w:r w:rsidR="00E90450">
        <w:rPr>
          <w:rFonts w:ascii="Times New Roman" w:hAnsi="Times New Roman" w:cs="Times New Roman"/>
          <w:sz w:val="24"/>
          <w:szCs w:val="24"/>
        </w:rPr>
        <w:t xml:space="preserve"> nacional</w:t>
      </w:r>
      <w:r w:rsidR="00EC2BAD">
        <w:rPr>
          <w:rFonts w:ascii="Times New Roman" w:hAnsi="Times New Roman" w:cs="Times New Roman"/>
          <w:sz w:val="24"/>
          <w:szCs w:val="24"/>
        </w:rPr>
        <w:t xml:space="preserve"> derivada de </w:t>
      </w:r>
      <w:r w:rsidR="00E90450">
        <w:rPr>
          <w:rFonts w:ascii="Times New Roman" w:hAnsi="Times New Roman" w:cs="Times New Roman"/>
          <w:sz w:val="24"/>
          <w:szCs w:val="24"/>
        </w:rPr>
        <w:t xml:space="preserve">hechos como </w:t>
      </w:r>
      <w:r w:rsidR="00EC2BAD">
        <w:rPr>
          <w:rFonts w:ascii="Times New Roman" w:hAnsi="Times New Roman" w:cs="Times New Roman"/>
          <w:sz w:val="24"/>
          <w:szCs w:val="24"/>
        </w:rPr>
        <w:t xml:space="preserve">la aparición del movimiento </w:t>
      </w:r>
      <w:r w:rsidR="00F41B4F">
        <w:rPr>
          <w:rFonts w:ascii="Times New Roman" w:hAnsi="Times New Roman" w:cs="Times New Roman"/>
          <w:sz w:val="24"/>
          <w:szCs w:val="24"/>
        </w:rPr>
        <w:t>guerrillero indígena</w:t>
      </w:r>
      <w:r w:rsidR="00E90450">
        <w:rPr>
          <w:rFonts w:ascii="Times New Roman" w:hAnsi="Times New Roman" w:cs="Times New Roman"/>
          <w:sz w:val="24"/>
          <w:szCs w:val="24"/>
        </w:rPr>
        <w:t>, el EZLN,</w:t>
      </w:r>
      <w:r w:rsidR="00F41B4F">
        <w:rPr>
          <w:rFonts w:ascii="Times New Roman" w:hAnsi="Times New Roman" w:cs="Times New Roman"/>
          <w:sz w:val="24"/>
          <w:szCs w:val="24"/>
        </w:rPr>
        <w:t xml:space="preserve"> </w:t>
      </w:r>
      <w:r w:rsidR="00E90450">
        <w:rPr>
          <w:rFonts w:ascii="Times New Roman" w:hAnsi="Times New Roman" w:cs="Times New Roman"/>
          <w:sz w:val="24"/>
          <w:szCs w:val="24"/>
        </w:rPr>
        <w:t>en el estado de Chiapas</w:t>
      </w:r>
      <w:r w:rsidR="00F41B4F">
        <w:rPr>
          <w:rFonts w:ascii="Times New Roman" w:hAnsi="Times New Roman" w:cs="Times New Roman"/>
          <w:sz w:val="24"/>
          <w:szCs w:val="24"/>
        </w:rPr>
        <w:t>,</w:t>
      </w:r>
      <w:r w:rsidR="004F06BA">
        <w:rPr>
          <w:rFonts w:ascii="Times New Roman" w:hAnsi="Times New Roman" w:cs="Times New Roman"/>
          <w:sz w:val="24"/>
          <w:szCs w:val="24"/>
        </w:rPr>
        <w:t xml:space="preserve"> y los asesinatos</w:t>
      </w:r>
      <w:r w:rsidR="00E90450">
        <w:rPr>
          <w:rFonts w:ascii="Times New Roman" w:hAnsi="Times New Roman" w:cs="Times New Roman"/>
          <w:sz w:val="24"/>
          <w:szCs w:val="24"/>
        </w:rPr>
        <w:t xml:space="preserve"> del candidato presidencial</w:t>
      </w:r>
      <w:r w:rsidR="004F06BA">
        <w:rPr>
          <w:rFonts w:ascii="Times New Roman" w:hAnsi="Times New Roman" w:cs="Times New Roman"/>
          <w:sz w:val="24"/>
          <w:szCs w:val="24"/>
        </w:rPr>
        <w:t xml:space="preserve"> y del secretario general del PRI</w:t>
      </w:r>
      <w:r w:rsidR="00E90450">
        <w:rPr>
          <w:rFonts w:ascii="Times New Roman" w:hAnsi="Times New Roman" w:cs="Times New Roman"/>
          <w:sz w:val="24"/>
          <w:szCs w:val="24"/>
        </w:rPr>
        <w:t>. Es</w:t>
      </w:r>
      <w:r w:rsidR="00EC2BAD" w:rsidRPr="00E90450">
        <w:rPr>
          <w:rFonts w:ascii="Times New Roman" w:hAnsi="Times New Roman" w:cs="Times New Roman"/>
          <w:sz w:val="24"/>
          <w:szCs w:val="24"/>
        </w:rPr>
        <w:t xml:space="preserve">a reforma modificó la composición </w:t>
      </w:r>
      <w:r w:rsidR="00E90450">
        <w:rPr>
          <w:rFonts w:ascii="Times New Roman" w:hAnsi="Times New Roman" w:cs="Times New Roman"/>
          <w:sz w:val="24"/>
          <w:szCs w:val="24"/>
        </w:rPr>
        <w:t>de la instancia de gobierno del IFE</w:t>
      </w:r>
      <w:r w:rsidR="000449C2">
        <w:rPr>
          <w:rFonts w:ascii="Times New Roman" w:hAnsi="Times New Roman" w:cs="Times New Roman"/>
          <w:sz w:val="24"/>
          <w:szCs w:val="24"/>
        </w:rPr>
        <w:t>,</w:t>
      </w:r>
      <w:r w:rsidR="00E90450">
        <w:rPr>
          <w:rFonts w:ascii="Times New Roman" w:hAnsi="Times New Roman" w:cs="Times New Roman"/>
          <w:sz w:val="24"/>
          <w:szCs w:val="24"/>
        </w:rPr>
        <w:t xml:space="preserve"> su Consejo General,</w:t>
      </w:r>
      <w:r w:rsidR="000449C2">
        <w:rPr>
          <w:rFonts w:ascii="Times New Roman" w:hAnsi="Times New Roman" w:cs="Times New Roman"/>
          <w:sz w:val="24"/>
          <w:szCs w:val="24"/>
        </w:rPr>
        <w:t xml:space="preserve"> dando mayor peso a los</w:t>
      </w:r>
      <w:r w:rsidR="004F06BA">
        <w:rPr>
          <w:rFonts w:ascii="Times New Roman" w:hAnsi="Times New Roman" w:cs="Times New Roman"/>
          <w:sz w:val="24"/>
          <w:szCs w:val="24"/>
        </w:rPr>
        <w:t xml:space="preserve"> llamados consejeros ciudadanos y eliminando </w:t>
      </w:r>
      <w:r w:rsidR="00E90450">
        <w:rPr>
          <w:rFonts w:ascii="Times New Roman" w:hAnsi="Times New Roman" w:cs="Times New Roman"/>
          <w:sz w:val="24"/>
          <w:szCs w:val="24"/>
        </w:rPr>
        <w:t>el derecho al voto de los representantes de los partidos</w:t>
      </w:r>
      <w:r w:rsidR="004F06BA">
        <w:rPr>
          <w:rFonts w:ascii="Times New Roman" w:hAnsi="Times New Roman" w:cs="Times New Roman"/>
          <w:sz w:val="24"/>
          <w:szCs w:val="24"/>
        </w:rPr>
        <w:t xml:space="preserve"> para sus resoluciones,</w:t>
      </w:r>
      <w:r w:rsidR="000449C2">
        <w:rPr>
          <w:rFonts w:ascii="Times New Roman" w:hAnsi="Times New Roman" w:cs="Times New Roman"/>
          <w:sz w:val="24"/>
          <w:szCs w:val="24"/>
        </w:rPr>
        <w:t xml:space="preserve"> </w:t>
      </w:r>
      <w:r w:rsidR="00E90450">
        <w:rPr>
          <w:rFonts w:ascii="Times New Roman" w:hAnsi="Times New Roman" w:cs="Times New Roman"/>
          <w:sz w:val="24"/>
          <w:szCs w:val="24"/>
        </w:rPr>
        <w:t>también estableció las forma</w:t>
      </w:r>
      <w:r w:rsidR="004F06BA">
        <w:rPr>
          <w:rFonts w:ascii="Times New Roman" w:hAnsi="Times New Roman" w:cs="Times New Roman"/>
          <w:sz w:val="24"/>
          <w:szCs w:val="24"/>
        </w:rPr>
        <w:t>s para dar reconocimiento</w:t>
      </w:r>
      <w:r w:rsidR="00E90450">
        <w:rPr>
          <w:rFonts w:ascii="Times New Roman" w:hAnsi="Times New Roman" w:cs="Times New Roman"/>
          <w:sz w:val="24"/>
          <w:szCs w:val="24"/>
        </w:rPr>
        <w:t xml:space="preserve"> a los</w:t>
      </w:r>
      <w:r w:rsidR="000449C2">
        <w:rPr>
          <w:rFonts w:ascii="Times New Roman" w:hAnsi="Times New Roman" w:cs="Times New Roman"/>
          <w:sz w:val="24"/>
          <w:szCs w:val="24"/>
        </w:rPr>
        <w:t xml:space="preserve"> observadores electorales y penalizó las prácticas de fraude más comunes (Molinar, 1998). </w:t>
      </w:r>
      <w:r w:rsidR="00C45261">
        <w:rPr>
          <w:rFonts w:ascii="Times New Roman" w:hAnsi="Times New Roman" w:cs="Times New Roman"/>
          <w:sz w:val="24"/>
          <w:szCs w:val="24"/>
        </w:rPr>
        <w:t>Sin embargo, la incertidumbre sobre el desempeño de las nuevas instituciones electorales y la sabida incapacidad y falta de autonomía del poder judicial, impidieron a los principales actores políticos confiar el proceso y el resultado electoral a la mera aplicación de la nueva norma en la materia, por lo que fue necesaria la firma de dos acuerdos políticos entre las principales fue</w:t>
      </w:r>
      <w:r w:rsidR="000D37DC">
        <w:rPr>
          <w:rFonts w:ascii="Times New Roman" w:hAnsi="Times New Roman" w:cs="Times New Roman"/>
          <w:sz w:val="24"/>
          <w:szCs w:val="24"/>
        </w:rPr>
        <w:t>rzas</w:t>
      </w:r>
      <w:r w:rsidR="004F06BA">
        <w:rPr>
          <w:rFonts w:ascii="Times New Roman" w:hAnsi="Times New Roman" w:cs="Times New Roman"/>
          <w:sz w:val="24"/>
          <w:szCs w:val="24"/>
        </w:rPr>
        <w:t xml:space="preserve"> partidistas</w:t>
      </w:r>
      <w:r w:rsidR="000D37DC">
        <w:rPr>
          <w:rFonts w:ascii="Times New Roman" w:hAnsi="Times New Roman" w:cs="Times New Roman"/>
          <w:sz w:val="24"/>
          <w:szCs w:val="24"/>
        </w:rPr>
        <w:t xml:space="preserve"> durante aquel año, uno en enero, posterior a la aparición del movimiento guerrillero en Chiapas, y otro en julio, antes de las elecciones</w:t>
      </w:r>
      <w:r w:rsidR="004F06BA">
        <w:rPr>
          <w:rFonts w:ascii="Times New Roman" w:hAnsi="Times New Roman" w:cs="Times New Roman"/>
          <w:sz w:val="24"/>
          <w:szCs w:val="24"/>
        </w:rPr>
        <w:t>,</w:t>
      </w:r>
      <w:r w:rsidR="000D37DC">
        <w:rPr>
          <w:rFonts w:ascii="Times New Roman" w:hAnsi="Times New Roman" w:cs="Times New Roman"/>
          <w:sz w:val="24"/>
          <w:szCs w:val="24"/>
        </w:rPr>
        <w:t xml:space="preserve"> debido a la crisis por los asesinatos políticos.</w:t>
      </w:r>
      <w:r w:rsidR="00C45261">
        <w:rPr>
          <w:rFonts w:ascii="Times New Roman" w:hAnsi="Times New Roman" w:cs="Times New Roman"/>
          <w:sz w:val="24"/>
          <w:szCs w:val="24"/>
        </w:rPr>
        <w:t xml:space="preserve">    </w:t>
      </w:r>
    </w:p>
    <w:p w14:paraId="1FE01360" w14:textId="77777777" w:rsidR="005307B6" w:rsidRDefault="004F06BA"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Reformas adicionales, las de</w:t>
      </w:r>
      <w:r w:rsidR="007C49C0">
        <w:rPr>
          <w:rFonts w:ascii="Times New Roman" w:hAnsi="Times New Roman" w:cs="Times New Roman"/>
          <w:sz w:val="24"/>
          <w:szCs w:val="24"/>
        </w:rPr>
        <w:t xml:space="preserve"> 1996 y 1997</w:t>
      </w:r>
      <w:r w:rsidR="00460048">
        <w:rPr>
          <w:rFonts w:ascii="Times New Roman" w:hAnsi="Times New Roman" w:cs="Times New Roman"/>
          <w:sz w:val="24"/>
          <w:szCs w:val="24"/>
        </w:rPr>
        <w:t>,</w:t>
      </w:r>
      <w:r w:rsidR="007C49C0">
        <w:rPr>
          <w:rFonts w:ascii="Times New Roman" w:hAnsi="Times New Roman" w:cs="Times New Roman"/>
          <w:sz w:val="24"/>
          <w:szCs w:val="24"/>
        </w:rPr>
        <w:t xml:space="preserve"> consumaron el proceso de la lla</w:t>
      </w:r>
      <w:r>
        <w:rPr>
          <w:rFonts w:ascii="Times New Roman" w:hAnsi="Times New Roman" w:cs="Times New Roman"/>
          <w:sz w:val="24"/>
          <w:szCs w:val="24"/>
        </w:rPr>
        <w:t>mada “ciudadanización” de la máxima autoridad dentro</w:t>
      </w:r>
      <w:r w:rsidR="005307B6">
        <w:rPr>
          <w:rFonts w:ascii="Times New Roman" w:hAnsi="Times New Roman" w:cs="Times New Roman"/>
          <w:sz w:val="24"/>
          <w:szCs w:val="24"/>
        </w:rPr>
        <w:t xml:space="preserve"> del IFE, pues los cons</w:t>
      </w:r>
      <w:r w:rsidR="007C49C0">
        <w:rPr>
          <w:rFonts w:ascii="Times New Roman" w:hAnsi="Times New Roman" w:cs="Times New Roman"/>
          <w:sz w:val="24"/>
          <w:szCs w:val="24"/>
        </w:rPr>
        <w:t>ejer</w:t>
      </w:r>
      <w:r>
        <w:rPr>
          <w:rFonts w:ascii="Times New Roman" w:hAnsi="Times New Roman" w:cs="Times New Roman"/>
          <w:sz w:val="24"/>
          <w:szCs w:val="24"/>
        </w:rPr>
        <w:t>os del poder legislativo perdieron derecho</w:t>
      </w:r>
      <w:r w:rsidR="007C49C0">
        <w:rPr>
          <w:rFonts w:ascii="Times New Roman" w:hAnsi="Times New Roman" w:cs="Times New Roman"/>
          <w:sz w:val="24"/>
          <w:szCs w:val="24"/>
        </w:rPr>
        <w:t xml:space="preserve"> </w:t>
      </w:r>
      <w:r>
        <w:rPr>
          <w:rFonts w:ascii="Times New Roman" w:hAnsi="Times New Roman" w:cs="Times New Roman"/>
          <w:sz w:val="24"/>
          <w:szCs w:val="24"/>
        </w:rPr>
        <w:t xml:space="preserve">al </w:t>
      </w:r>
      <w:r w:rsidR="007C49C0">
        <w:rPr>
          <w:rFonts w:ascii="Times New Roman" w:hAnsi="Times New Roman" w:cs="Times New Roman"/>
          <w:sz w:val="24"/>
          <w:szCs w:val="24"/>
        </w:rPr>
        <w:t>voto</w:t>
      </w:r>
      <w:r>
        <w:rPr>
          <w:rFonts w:ascii="Times New Roman" w:hAnsi="Times New Roman" w:cs="Times New Roman"/>
          <w:sz w:val="24"/>
          <w:szCs w:val="24"/>
        </w:rPr>
        <w:t xml:space="preserve"> y se eliminó la representación del Ejecutivo: </w:t>
      </w:r>
      <w:r w:rsidR="007C49C0">
        <w:rPr>
          <w:rFonts w:ascii="Times New Roman" w:hAnsi="Times New Roman" w:cs="Times New Roman"/>
          <w:sz w:val="24"/>
          <w:szCs w:val="24"/>
        </w:rPr>
        <w:t xml:space="preserve">sólo los consejeros electorales, </w:t>
      </w:r>
      <w:r w:rsidR="005307B6">
        <w:rPr>
          <w:rFonts w:ascii="Times New Roman" w:hAnsi="Times New Roman" w:cs="Times New Roman"/>
          <w:sz w:val="24"/>
          <w:szCs w:val="24"/>
        </w:rPr>
        <w:t xml:space="preserve">sin vínculo </w:t>
      </w:r>
      <w:r>
        <w:rPr>
          <w:rFonts w:ascii="Times New Roman" w:hAnsi="Times New Roman" w:cs="Times New Roman"/>
          <w:sz w:val="24"/>
          <w:szCs w:val="24"/>
        </w:rPr>
        <w:t xml:space="preserve">directo </w:t>
      </w:r>
      <w:r w:rsidR="005307B6">
        <w:rPr>
          <w:rFonts w:ascii="Times New Roman" w:hAnsi="Times New Roman" w:cs="Times New Roman"/>
          <w:sz w:val="24"/>
          <w:szCs w:val="24"/>
        </w:rPr>
        <w:t>con ningún partido ni poder público,</w:t>
      </w:r>
      <w:r w:rsidR="007C49C0">
        <w:rPr>
          <w:rFonts w:ascii="Times New Roman" w:hAnsi="Times New Roman" w:cs="Times New Roman"/>
          <w:sz w:val="24"/>
          <w:szCs w:val="24"/>
        </w:rPr>
        <w:t xml:space="preserve"> </w:t>
      </w:r>
      <w:r>
        <w:rPr>
          <w:rFonts w:ascii="Times New Roman" w:hAnsi="Times New Roman" w:cs="Times New Roman"/>
          <w:sz w:val="24"/>
          <w:szCs w:val="24"/>
        </w:rPr>
        <w:t>quedaron con v</w:t>
      </w:r>
      <w:r w:rsidR="007C49C0">
        <w:rPr>
          <w:rFonts w:ascii="Times New Roman" w:hAnsi="Times New Roman" w:cs="Times New Roman"/>
          <w:sz w:val="24"/>
          <w:szCs w:val="24"/>
        </w:rPr>
        <w:t>oz y voto</w:t>
      </w:r>
      <w:r>
        <w:rPr>
          <w:rFonts w:ascii="Times New Roman" w:hAnsi="Times New Roman" w:cs="Times New Roman"/>
          <w:sz w:val="24"/>
          <w:szCs w:val="24"/>
        </w:rPr>
        <w:t xml:space="preserve">, pero además con mayores </w:t>
      </w:r>
      <w:r w:rsidR="005307B6">
        <w:rPr>
          <w:rFonts w:ascii="Times New Roman" w:hAnsi="Times New Roman" w:cs="Times New Roman"/>
          <w:sz w:val="24"/>
          <w:szCs w:val="24"/>
        </w:rPr>
        <w:t>atribuciones</w:t>
      </w:r>
      <w:r w:rsidR="0074340F">
        <w:rPr>
          <w:rFonts w:ascii="Times New Roman" w:hAnsi="Times New Roman" w:cs="Times New Roman"/>
          <w:sz w:val="24"/>
          <w:szCs w:val="24"/>
        </w:rPr>
        <w:t xml:space="preserve">, como las de </w:t>
      </w:r>
      <w:r w:rsidR="005307B6">
        <w:rPr>
          <w:rFonts w:ascii="Times New Roman" w:hAnsi="Times New Roman" w:cs="Times New Roman"/>
          <w:sz w:val="24"/>
          <w:szCs w:val="24"/>
        </w:rPr>
        <w:t>aprobar el nombramiento d</w:t>
      </w:r>
      <w:r w:rsidR="0074340F">
        <w:rPr>
          <w:rFonts w:ascii="Times New Roman" w:hAnsi="Times New Roman" w:cs="Times New Roman"/>
          <w:sz w:val="24"/>
          <w:szCs w:val="24"/>
        </w:rPr>
        <w:t>e los funcionarios a cargo de las</w:t>
      </w:r>
      <w:r w:rsidR="005307B6">
        <w:rPr>
          <w:rFonts w:ascii="Times New Roman" w:hAnsi="Times New Roman" w:cs="Times New Roman"/>
          <w:sz w:val="24"/>
          <w:szCs w:val="24"/>
        </w:rPr>
        <w:t xml:space="preserve"> distintas áreas técnicas y ejecutivas del Instituto. </w:t>
      </w:r>
      <w:r w:rsidR="0074340F">
        <w:rPr>
          <w:rFonts w:ascii="Times New Roman" w:hAnsi="Times New Roman" w:cs="Times New Roman"/>
          <w:sz w:val="24"/>
          <w:szCs w:val="24"/>
        </w:rPr>
        <w:t>Asimismo, se creó</w:t>
      </w:r>
      <w:r w:rsidR="005307B6">
        <w:rPr>
          <w:rFonts w:ascii="Times New Roman" w:hAnsi="Times New Roman" w:cs="Times New Roman"/>
          <w:sz w:val="24"/>
          <w:szCs w:val="24"/>
        </w:rPr>
        <w:t xml:space="preserve"> el Tribunal Electoral,</w:t>
      </w:r>
      <w:r w:rsidR="00D62F3F">
        <w:rPr>
          <w:rFonts w:ascii="Times New Roman" w:hAnsi="Times New Roman" w:cs="Times New Roman"/>
          <w:sz w:val="24"/>
          <w:szCs w:val="24"/>
        </w:rPr>
        <w:t xml:space="preserve"> como parte del Poder Judicial</w:t>
      </w:r>
      <w:r w:rsidR="0074340F">
        <w:rPr>
          <w:rFonts w:ascii="Times New Roman" w:hAnsi="Times New Roman" w:cs="Times New Roman"/>
          <w:sz w:val="24"/>
          <w:szCs w:val="24"/>
        </w:rPr>
        <w:t xml:space="preserve">, y se agregó, </w:t>
      </w:r>
      <w:r w:rsidR="00D62F3F">
        <w:rPr>
          <w:rFonts w:ascii="Times New Roman" w:hAnsi="Times New Roman" w:cs="Times New Roman"/>
          <w:sz w:val="24"/>
          <w:szCs w:val="24"/>
        </w:rPr>
        <w:t>por primera vez</w:t>
      </w:r>
      <w:r w:rsidR="0074340F">
        <w:rPr>
          <w:rFonts w:ascii="Times New Roman" w:hAnsi="Times New Roman" w:cs="Times New Roman"/>
          <w:sz w:val="24"/>
          <w:szCs w:val="24"/>
        </w:rPr>
        <w:t xml:space="preserve">, la materia electoral a las </w:t>
      </w:r>
      <w:r w:rsidR="00D62F3F">
        <w:rPr>
          <w:rFonts w:ascii="Times New Roman" w:hAnsi="Times New Roman" w:cs="Times New Roman"/>
          <w:sz w:val="24"/>
          <w:szCs w:val="24"/>
        </w:rPr>
        <w:t xml:space="preserve">atribuciones de la Suprema Corte, </w:t>
      </w:r>
      <w:r w:rsidR="0074340F">
        <w:rPr>
          <w:rFonts w:ascii="Times New Roman" w:hAnsi="Times New Roman" w:cs="Times New Roman"/>
          <w:sz w:val="24"/>
          <w:szCs w:val="24"/>
        </w:rPr>
        <w:t xml:space="preserve">por lo que </w:t>
      </w:r>
      <w:r w:rsidR="00D62F3F">
        <w:rPr>
          <w:rFonts w:ascii="Times New Roman" w:hAnsi="Times New Roman" w:cs="Times New Roman"/>
          <w:sz w:val="24"/>
          <w:szCs w:val="24"/>
        </w:rPr>
        <w:t>desde entonces</w:t>
      </w:r>
      <w:r w:rsidR="0074340F">
        <w:rPr>
          <w:rFonts w:ascii="Times New Roman" w:hAnsi="Times New Roman" w:cs="Times New Roman"/>
          <w:sz w:val="24"/>
          <w:szCs w:val="24"/>
        </w:rPr>
        <w:t xml:space="preserve"> este máximo tribunal</w:t>
      </w:r>
      <w:r w:rsidR="00D62F3F">
        <w:rPr>
          <w:rFonts w:ascii="Times New Roman" w:hAnsi="Times New Roman" w:cs="Times New Roman"/>
          <w:sz w:val="24"/>
          <w:szCs w:val="24"/>
        </w:rPr>
        <w:t xml:space="preserve"> puede conocer de controversias sobre la constitucionalidad de leyes y actos electorales. </w:t>
      </w:r>
      <w:r w:rsidR="0074340F">
        <w:rPr>
          <w:rFonts w:ascii="Times New Roman" w:hAnsi="Times New Roman" w:cs="Times New Roman"/>
          <w:sz w:val="24"/>
          <w:szCs w:val="24"/>
        </w:rPr>
        <w:t>Además, s</w:t>
      </w:r>
      <w:r w:rsidR="005307B6">
        <w:rPr>
          <w:rFonts w:ascii="Times New Roman" w:hAnsi="Times New Roman" w:cs="Times New Roman"/>
          <w:sz w:val="24"/>
          <w:szCs w:val="24"/>
        </w:rPr>
        <w:t xml:space="preserve">e </w:t>
      </w:r>
      <w:r w:rsidR="0074340F">
        <w:rPr>
          <w:rFonts w:ascii="Times New Roman" w:hAnsi="Times New Roman" w:cs="Times New Roman"/>
          <w:sz w:val="24"/>
          <w:szCs w:val="24"/>
        </w:rPr>
        <w:t>introdujo</w:t>
      </w:r>
      <w:r w:rsidR="005307B6">
        <w:rPr>
          <w:rFonts w:ascii="Times New Roman" w:hAnsi="Times New Roman" w:cs="Times New Roman"/>
          <w:sz w:val="24"/>
          <w:szCs w:val="24"/>
        </w:rPr>
        <w:t xml:space="preserve"> la regulación de</w:t>
      </w:r>
      <w:r w:rsidR="0074340F">
        <w:rPr>
          <w:rFonts w:ascii="Times New Roman" w:hAnsi="Times New Roman" w:cs="Times New Roman"/>
          <w:sz w:val="24"/>
          <w:szCs w:val="24"/>
        </w:rPr>
        <w:t xml:space="preserve">l acceso de los partidos a tiempos de </w:t>
      </w:r>
      <w:r w:rsidR="00880ADB" w:rsidRPr="00043766">
        <w:rPr>
          <w:rFonts w:ascii="Times New Roman" w:hAnsi="Times New Roman" w:cs="Times New Roman"/>
          <w:sz w:val="24"/>
          <w:szCs w:val="24"/>
        </w:rPr>
        <w:t>radio y televisión durante</w:t>
      </w:r>
      <w:r w:rsidR="0074340F">
        <w:rPr>
          <w:rFonts w:ascii="Times New Roman" w:hAnsi="Times New Roman" w:cs="Times New Roman"/>
          <w:sz w:val="24"/>
          <w:szCs w:val="24"/>
        </w:rPr>
        <w:t xml:space="preserve"> las</w:t>
      </w:r>
      <w:r w:rsidR="00880ADB" w:rsidRPr="00043766">
        <w:rPr>
          <w:rFonts w:ascii="Times New Roman" w:hAnsi="Times New Roman" w:cs="Times New Roman"/>
          <w:sz w:val="24"/>
          <w:szCs w:val="24"/>
        </w:rPr>
        <w:t xml:space="preserve"> campañas, para reducir la inequidad</w:t>
      </w:r>
      <w:r w:rsidR="0074340F">
        <w:rPr>
          <w:rFonts w:ascii="Times New Roman" w:hAnsi="Times New Roman" w:cs="Times New Roman"/>
          <w:sz w:val="24"/>
          <w:szCs w:val="24"/>
        </w:rPr>
        <w:t xml:space="preserve"> que la oposición reclamó durante las campañas presidenciales del 94</w:t>
      </w:r>
      <w:r w:rsidR="00880ADB" w:rsidRPr="00043766">
        <w:rPr>
          <w:rFonts w:ascii="Times New Roman" w:hAnsi="Times New Roman" w:cs="Times New Roman"/>
          <w:sz w:val="24"/>
          <w:szCs w:val="24"/>
        </w:rPr>
        <w:t>.</w:t>
      </w:r>
      <w:r w:rsidR="0074340F">
        <w:rPr>
          <w:rFonts w:ascii="Times New Roman" w:hAnsi="Times New Roman" w:cs="Times New Roman"/>
          <w:sz w:val="24"/>
          <w:szCs w:val="24"/>
        </w:rPr>
        <w:t xml:space="preserve"> Finalmente, se creó</w:t>
      </w:r>
      <w:r w:rsidR="00942C87">
        <w:rPr>
          <w:rFonts w:ascii="Times New Roman" w:hAnsi="Times New Roman" w:cs="Times New Roman"/>
          <w:sz w:val="24"/>
          <w:szCs w:val="24"/>
        </w:rPr>
        <w:t xml:space="preserve"> la Comisión d</w:t>
      </w:r>
      <w:r w:rsidR="00C067B5">
        <w:rPr>
          <w:rFonts w:ascii="Times New Roman" w:hAnsi="Times New Roman" w:cs="Times New Roman"/>
          <w:sz w:val="24"/>
          <w:szCs w:val="24"/>
        </w:rPr>
        <w:t>e</w:t>
      </w:r>
      <w:r w:rsidR="00942C87">
        <w:rPr>
          <w:rFonts w:ascii="Times New Roman" w:hAnsi="Times New Roman" w:cs="Times New Roman"/>
          <w:sz w:val="24"/>
          <w:szCs w:val="24"/>
        </w:rPr>
        <w:t xml:space="preserve"> Fiscalización del Financiamiento de los Partidos Políticos, con atribuciones para revisar los informes sobre el origen y el destino de sus recursos.</w:t>
      </w:r>
    </w:p>
    <w:p w14:paraId="72540AFC" w14:textId="77777777" w:rsidR="00604DC3" w:rsidRDefault="00362918"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En suma, en la década de los 90 las reformas que protagonizaron la transición</w:t>
      </w:r>
      <w:r w:rsidR="0074340F">
        <w:rPr>
          <w:rFonts w:ascii="Times New Roman" w:hAnsi="Times New Roman" w:cs="Times New Roman"/>
          <w:sz w:val="24"/>
          <w:szCs w:val="24"/>
        </w:rPr>
        <w:t xml:space="preserve"> mexicana</w:t>
      </w:r>
      <w:r>
        <w:rPr>
          <w:rFonts w:ascii="Times New Roman" w:hAnsi="Times New Roman" w:cs="Times New Roman"/>
          <w:sz w:val="24"/>
          <w:szCs w:val="24"/>
        </w:rPr>
        <w:t xml:space="preserve"> fueron de corte eminentemente electoral, encaminadas a </w:t>
      </w:r>
      <w:r w:rsidR="0074340F">
        <w:rPr>
          <w:rFonts w:ascii="Times New Roman" w:hAnsi="Times New Roman" w:cs="Times New Roman"/>
          <w:sz w:val="24"/>
          <w:szCs w:val="24"/>
        </w:rPr>
        <w:t xml:space="preserve">tratar de </w:t>
      </w:r>
      <w:r>
        <w:rPr>
          <w:rFonts w:ascii="Times New Roman" w:hAnsi="Times New Roman" w:cs="Times New Roman"/>
          <w:sz w:val="24"/>
          <w:szCs w:val="24"/>
        </w:rPr>
        <w:t>resolver las condiciones</w:t>
      </w:r>
      <w:r w:rsidR="0074340F">
        <w:rPr>
          <w:rFonts w:ascii="Times New Roman" w:hAnsi="Times New Roman" w:cs="Times New Roman"/>
          <w:sz w:val="24"/>
          <w:szCs w:val="24"/>
        </w:rPr>
        <w:t xml:space="preserve"> de  inequidad</w:t>
      </w:r>
      <w:r>
        <w:rPr>
          <w:rFonts w:ascii="Times New Roman" w:hAnsi="Times New Roman" w:cs="Times New Roman"/>
          <w:sz w:val="24"/>
          <w:szCs w:val="24"/>
        </w:rPr>
        <w:t xml:space="preserve"> que la oposición enfrentaba </w:t>
      </w:r>
      <w:r w:rsidR="0074340F">
        <w:rPr>
          <w:rFonts w:ascii="Times New Roman" w:hAnsi="Times New Roman" w:cs="Times New Roman"/>
          <w:sz w:val="24"/>
          <w:szCs w:val="24"/>
        </w:rPr>
        <w:t xml:space="preserve">durante las elecciones </w:t>
      </w:r>
      <w:r>
        <w:rPr>
          <w:rFonts w:ascii="Times New Roman" w:hAnsi="Times New Roman" w:cs="Times New Roman"/>
          <w:sz w:val="24"/>
          <w:szCs w:val="24"/>
        </w:rPr>
        <w:t>para ocupar cargos públicos.</w:t>
      </w:r>
      <w:r w:rsidR="00741010">
        <w:rPr>
          <w:rFonts w:ascii="Times New Roman" w:hAnsi="Times New Roman" w:cs="Times New Roman"/>
          <w:sz w:val="24"/>
          <w:szCs w:val="24"/>
        </w:rPr>
        <w:t xml:space="preserve"> </w:t>
      </w:r>
      <w:r w:rsidR="003E66B2">
        <w:rPr>
          <w:rFonts w:ascii="Times New Roman" w:hAnsi="Times New Roman" w:cs="Times New Roman"/>
          <w:sz w:val="24"/>
          <w:szCs w:val="24"/>
        </w:rPr>
        <w:t>De hecho, uno de los cambios relacionados con el ámbito judicial se refiere</w:t>
      </w:r>
      <w:r w:rsidR="008D2BFF">
        <w:rPr>
          <w:rFonts w:ascii="Times New Roman" w:hAnsi="Times New Roman" w:cs="Times New Roman"/>
          <w:sz w:val="24"/>
          <w:szCs w:val="24"/>
        </w:rPr>
        <w:t xml:space="preserve"> justamente</w:t>
      </w:r>
      <w:r w:rsidR="003E66B2">
        <w:rPr>
          <w:rFonts w:ascii="Times New Roman" w:hAnsi="Times New Roman" w:cs="Times New Roman"/>
          <w:sz w:val="24"/>
          <w:szCs w:val="24"/>
        </w:rPr>
        <w:t xml:space="preserve"> a la materia electoral</w:t>
      </w:r>
      <w:r w:rsidR="008D2BFF">
        <w:rPr>
          <w:rFonts w:ascii="Times New Roman" w:hAnsi="Times New Roman" w:cs="Times New Roman"/>
          <w:sz w:val="24"/>
          <w:szCs w:val="24"/>
        </w:rPr>
        <w:t>. Ello</w:t>
      </w:r>
      <w:r w:rsidR="003E66B2">
        <w:rPr>
          <w:rFonts w:ascii="Times New Roman" w:hAnsi="Times New Roman" w:cs="Times New Roman"/>
          <w:sz w:val="24"/>
          <w:szCs w:val="24"/>
        </w:rPr>
        <w:t xml:space="preserve"> permitió, una vez que la autoridad mostró la suficiente neutralidad y autonomía, </w:t>
      </w:r>
      <w:r w:rsidR="008D2BFF">
        <w:rPr>
          <w:rFonts w:ascii="Times New Roman" w:hAnsi="Times New Roman" w:cs="Times New Roman"/>
          <w:sz w:val="24"/>
          <w:szCs w:val="24"/>
        </w:rPr>
        <w:t xml:space="preserve">que la oposición </w:t>
      </w:r>
      <w:r w:rsidR="003E66B2">
        <w:rPr>
          <w:rFonts w:ascii="Times New Roman" w:hAnsi="Times New Roman" w:cs="Times New Roman"/>
          <w:sz w:val="24"/>
          <w:szCs w:val="24"/>
        </w:rPr>
        <w:t>abandonar</w:t>
      </w:r>
      <w:r w:rsidR="008D2BFF">
        <w:rPr>
          <w:rFonts w:ascii="Times New Roman" w:hAnsi="Times New Roman" w:cs="Times New Roman"/>
          <w:sz w:val="24"/>
          <w:szCs w:val="24"/>
        </w:rPr>
        <w:t>a</w:t>
      </w:r>
      <w:r w:rsidR="003E66B2">
        <w:rPr>
          <w:rFonts w:ascii="Times New Roman" w:hAnsi="Times New Roman" w:cs="Times New Roman"/>
          <w:sz w:val="24"/>
          <w:szCs w:val="24"/>
        </w:rPr>
        <w:t xml:space="preserve"> los </w:t>
      </w:r>
      <w:r w:rsidR="003E66B2" w:rsidRPr="008D2BFF">
        <w:rPr>
          <w:rFonts w:ascii="Times New Roman" w:hAnsi="Times New Roman" w:cs="Times New Roman"/>
          <w:sz w:val="24"/>
          <w:szCs w:val="24"/>
        </w:rPr>
        <w:t xml:space="preserve">acuerdos informales </w:t>
      </w:r>
      <w:r w:rsidR="008D2BFF">
        <w:rPr>
          <w:rFonts w:ascii="Times New Roman" w:hAnsi="Times New Roman" w:cs="Times New Roman"/>
          <w:sz w:val="24"/>
          <w:szCs w:val="24"/>
        </w:rPr>
        <w:t xml:space="preserve">como estrategia </w:t>
      </w:r>
      <w:r w:rsidR="003E66B2" w:rsidRPr="008D2BFF">
        <w:rPr>
          <w:rFonts w:ascii="Times New Roman" w:hAnsi="Times New Roman" w:cs="Times New Roman"/>
          <w:sz w:val="24"/>
          <w:szCs w:val="24"/>
        </w:rPr>
        <w:t>para dirimir las disputas post-electorales (Eisenstadt, 2006, 248).</w:t>
      </w:r>
      <w:r w:rsidR="003E66B2">
        <w:rPr>
          <w:rFonts w:ascii="Times New Roman" w:hAnsi="Times New Roman" w:cs="Times New Roman"/>
          <w:sz w:val="24"/>
          <w:szCs w:val="24"/>
        </w:rPr>
        <w:t xml:space="preserve"> </w:t>
      </w:r>
      <w:r w:rsidR="00741010">
        <w:rPr>
          <w:rFonts w:ascii="Times New Roman" w:hAnsi="Times New Roman" w:cs="Times New Roman"/>
          <w:sz w:val="24"/>
          <w:szCs w:val="24"/>
        </w:rPr>
        <w:t>La realización de reformas relacionadas con el Estado de derecho</w:t>
      </w:r>
      <w:r w:rsidR="008925C5">
        <w:rPr>
          <w:rFonts w:ascii="Times New Roman" w:hAnsi="Times New Roman" w:cs="Times New Roman"/>
          <w:sz w:val="24"/>
          <w:szCs w:val="24"/>
        </w:rPr>
        <w:t>, entonces,</w:t>
      </w:r>
      <w:r w:rsidR="00741010">
        <w:rPr>
          <w:rFonts w:ascii="Times New Roman" w:hAnsi="Times New Roman" w:cs="Times New Roman"/>
          <w:sz w:val="24"/>
          <w:szCs w:val="24"/>
        </w:rPr>
        <w:t xml:space="preserve"> no estaba en la agenda de las principales fuerzas políticas ni de la sociedad.</w:t>
      </w:r>
      <w:r>
        <w:rPr>
          <w:rFonts w:ascii="Times New Roman" w:hAnsi="Times New Roman" w:cs="Times New Roman"/>
          <w:sz w:val="24"/>
          <w:szCs w:val="24"/>
        </w:rPr>
        <w:t xml:space="preserve"> </w:t>
      </w:r>
      <w:r w:rsidR="00741010">
        <w:rPr>
          <w:rFonts w:ascii="Times New Roman" w:hAnsi="Times New Roman" w:cs="Times New Roman"/>
          <w:sz w:val="24"/>
          <w:szCs w:val="24"/>
        </w:rPr>
        <w:t>Contrariamente a lo que sucedía e</w:t>
      </w:r>
      <w:r w:rsidR="008925C5">
        <w:rPr>
          <w:rFonts w:ascii="Times New Roman" w:hAnsi="Times New Roman" w:cs="Times New Roman"/>
          <w:sz w:val="24"/>
          <w:szCs w:val="24"/>
        </w:rPr>
        <w:t>n otros países latinoamericanos</w:t>
      </w:r>
      <w:r w:rsidR="00741010">
        <w:rPr>
          <w:rFonts w:ascii="Times New Roman" w:hAnsi="Times New Roman" w:cs="Times New Roman"/>
          <w:sz w:val="24"/>
          <w:szCs w:val="24"/>
        </w:rPr>
        <w:t xml:space="preserve"> durante esa década, México se mantuvo prácticamente al margen de un debate que tuvo lugar no sólo en Chile sino en otras partes del continente, alrededor del tema de la reforma judicial (Fix Fierro, 2004). Esta omisión tuvo dos momentos de excepción. En 1990, con la creación de la Comisión Nacional de </w:t>
      </w:r>
      <w:r w:rsidR="00741010">
        <w:rPr>
          <w:rFonts w:ascii="Times New Roman" w:hAnsi="Times New Roman" w:cs="Times New Roman"/>
          <w:sz w:val="24"/>
          <w:szCs w:val="24"/>
        </w:rPr>
        <w:lastRenderedPageBreak/>
        <w:t xml:space="preserve">Derechos Humanos, cuyas recomendaciones y propuestas dieron lugar a ciertas reformas legales e introdujeron el tema dentro de la opinión pública, pero sin alcanzar un impacto suficiente (Fix Fierro, 2004). La otra excepción fue la reforma de 1994, relacionada con la Suprema Corte y con la creación del </w:t>
      </w:r>
      <w:r w:rsidR="0074340F">
        <w:rPr>
          <w:rFonts w:ascii="Times New Roman" w:hAnsi="Times New Roman" w:cs="Times New Roman"/>
          <w:sz w:val="24"/>
          <w:szCs w:val="24"/>
        </w:rPr>
        <w:t>C</w:t>
      </w:r>
      <w:r w:rsidR="00741010">
        <w:rPr>
          <w:rFonts w:ascii="Times New Roman" w:hAnsi="Times New Roman" w:cs="Times New Roman"/>
          <w:sz w:val="24"/>
          <w:szCs w:val="24"/>
        </w:rPr>
        <w:t>onsejo de la Judicatura</w:t>
      </w:r>
      <w:r w:rsidR="0074340F">
        <w:rPr>
          <w:rFonts w:ascii="Times New Roman" w:hAnsi="Times New Roman" w:cs="Times New Roman"/>
          <w:sz w:val="24"/>
          <w:szCs w:val="24"/>
        </w:rPr>
        <w:t>.</w:t>
      </w:r>
    </w:p>
    <w:p w14:paraId="1D365FD5" w14:textId="77777777" w:rsidR="00DF6779" w:rsidRDefault="008925C5"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reforma a la </w:t>
      </w:r>
      <w:r w:rsidR="000D00D4">
        <w:rPr>
          <w:rFonts w:ascii="Times New Roman" w:hAnsi="Times New Roman" w:cs="Times New Roman"/>
          <w:sz w:val="24"/>
          <w:szCs w:val="24"/>
        </w:rPr>
        <w:t>Suprema Corte</w:t>
      </w:r>
      <w:r>
        <w:rPr>
          <w:rFonts w:ascii="Times New Roman" w:hAnsi="Times New Roman" w:cs="Times New Roman"/>
          <w:sz w:val="24"/>
          <w:szCs w:val="24"/>
        </w:rPr>
        <w:t xml:space="preserve"> modificó la composición del órgano</w:t>
      </w:r>
      <w:r w:rsidR="000D00D4">
        <w:rPr>
          <w:rFonts w:ascii="Times New Roman" w:hAnsi="Times New Roman" w:cs="Times New Roman"/>
          <w:sz w:val="24"/>
          <w:szCs w:val="24"/>
        </w:rPr>
        <w:t>, enviando al retiro anticipado y forzoso a sus 26 miembros y reduci</w:t>
      </w:r>
      <w:r>
        <w:rPr>
          <w:rFonts w:ascii="Times New Roman" w:hAnsi="Times New Roman" w:cs="Times New Roman"/>
          <w:sz w:val="24"/>
          <w:szCs w:val="24"/>
        </w:rPr>
        <w:t>éndola a su anterior integración</w:t>
      </w:r>
      <w:r w:rsidR="000D00D4">
        <w:rPr>
          <w:rFonts w:ascii="Times New Roman" w:hAnsi="Times New Roman" w:cs="Times New Roman"/>
          <w:sz w:val="24"/>
          <w:szCs w:val="24"/>
        </w:rPr>
        <w:t xml:space="preserve"> de 11 ministros,</w:t>
      </w:r>
      <w:r w:rsidR="009D4ABC">
        <w:rPr>
          <w:rFonts w:ascii="Times New Roman" w:hAnsi="Times New Roman" w:cs="Times New Roman"/>
          <w:sz w:val="24"/>
          <w:szCs w:val="24"/>
        </w:rPr>
        <w:t xml:space="preserve"> y</w:t>
      </w:r>
      <w:r w:rsidR="000D00D4">
        <w:rPr>
          <w:rFonts w:ascii="Times New Roman" w:hAnsi="Times New Roman" w:cs="Times New Roman"/>
          <w:sz w:val="24"/>
          <w:szCs w:val="24"/>
        </w:rPr>
        <w:t xml:space="preserve"> amplió sus facultades. Si bien se argumentaron razones técnicas para la renovación de</w:t>
      </w:r>
      <w:r w:rsidR="009D4ABC">
        <w:rPr>
          <w:rFonts w:ascii="Times New Roman" w:hAnsi="Times New Roman" w:cs="Times New Roman"/>
          <w:sz w:val="24"/>
          <w:szCs w:val="24"/>
        </w:rPr>
        <w:t xml:space="preserve"> sus integrantes</w:t>
      </w:r>
      <w:r w:rsidR="000D00D4">
        <w:rPr>
          <w:rFonts w:ascii="Times New Roman" w:hAnsi="Times New Roman" w:cs="Times New Roman"/>
          <w:sz w:val="24"/>
          <w:szCs w:val="24"/>
        </w:rPr>
        <w:t>, la opinión pública consideró razones de corrupción</w:t>
      </w:r>
      <w:r>
        <w:rPr>
          <w:rFonts w:ascii="Times New Roman" w:hAnsi="Times New Roman" w:cs="Times New Roman"/>
          <w:sz w:val="24"/>
          <w:szCs w:val="24"/>
        </w:rPr>
        <w:t xml:space="preserve"> y de hecho la medida generó la oposición</w:t>
      </w:r>
      <w:r w:rsidR="00460048">
        <w:rPr>
          <w:rFonts w:ascii="Times New Roman" w:hAnsi="Times New Roman" w:cs="Times New Roman"/>
          <w:sz w:val="24"/>
          <w:szCs w:val="24"/>
        </w:rPr>
        <w:t xml:space="preserve"> abierta</w:t>
      </w:r>
      <w:r>
        <w:rPr>
          <w:rFonts w:ascii="Times New Roman" w:hAnsi="Times New Roman" w:cs="Times New Roman"/>
          <w:sz w:val="24"/>
          <w:szCs w:val="24"/>
        </w:rPr>
        <w:t xml:space="preserve"> de algunos de los ministros</w:t>
      </w:r>
      <w:r w:rsidR="000D00D4">
        <w:rPr>
          <w:rFonts w:ascii="Times New Roman" w:hAnsi="Times New Roman" w:cs="Times New Roman"/>
          <w:sz w:val="24"/>
          <w:szCs w:val="24"/>
        </w:rPr>
        <w:t xml:space="preserve"> (Fix Fierro, 2004). Un</w:t>
      </w:r>
      <w:r w:rsidR="003A79D1">
        <w:rPr>
          <w:rFonts w:ascii="Times New Roman" w:hAnsi="Times New Roman" w:cs="Times New Roman"/>
          <w:sz w:val="24"/>
          <w:szCs w:val="24"/>
        </w:rPr>
        <w:t>o de los</w:t>
      </w:r>
      <w:r w:rsidR="000D00D4">
        <w:rPr>
          <w:rFonts w:ascii="Times New Roman" w:hAnsi="Times New Roman" w:cs="Times New Roman"/>
          <w:sz w:val="24"/>
          <w:szCs w:val="24"/>
        </w:rPr>
        <w:t xml:space="preserve"> ca</w:t>
      </w:r>
      <w:r w:rsidR="003A79D1">
        <w:rPr>
          <w:rFonts w:ascii="Times New Roman" w:hAnsi="Times New Roman" w:cs="Times New Roman"/>
          <w:sz w:val="24"/>
          <w:szCs w:val="24"/>
        </w:rPr>
        <w:t>mbios más relevantes en cuanto a la integración de dicha instancia judicial fue la prohibición</w:t>
      </w:r>
      <w:r w:rsidR="000D00D4">
        <w:rPr>
          <w:rFonts w:ascii="Times New Roman" w:hAnsi="Times New Roman" w:cs="Times New Roman"/>
          <w:sz w:val="24"/>
          <w:szCs w:val="24"/>
        </w:rPr>
        <w:t xml:space="preserve"> </w:t>
      </w:r>
      <w:r w:rsidR="003A79D1">
        <w:rPr>
          <w:rFonts w:ascii="Times New Roman" w:hAnsi="Times New Roman" w:cs="Times New Roman"/>
          <w:sz w:val="24"/>
          <w:szCs w:val="24"/>
        </w:rPr>
        <w:t>d</w:t>
      </w:r>
      <w:r w:rsidR="000D00D4">
        <w:rPr>
          <w:rFonts w:ascii="Times New Roman" w:hAnsi="Times New Roman" w:cs="Times New Roman"/>
          <w:sz w:val="24"/>
          <w:szCs w:val="24"/>
        </w:rPr>
        <w:t>el nombramiento directo de altos funcionarios públicos como integrantes de la Suprema</w:t>
      </w:r>
      <w:r w:rsidR="003A79D1">
        <w:rPr>
          <w:rFonts w:ascii="Times New Roman" w:hAnsi="Times New Roman" w:cs="Times New Roman"/>
          <w:sz w:val="24"/>
          <w:szCs w:val="24"/>
        </w:rPr>
        <w:t xml:space="preserve"> Corte</w:t>
      </w:r>
      <w:r w:rsidR="000D00D4">
        <w:rPr>
          <w:rFonts w:ascii="Times New Roman" w:hAnsi="Times New Roman" w:cs="Times New Roman"/>
          <w:sz w:val="24"/>
          <w:szCs w:val="24"/>
        </w:rPr>
        <w:t>.</w:t>
      </w:r>
      <w:r w:rsidR="003A79D1">
        <w:rPr>
          <w:rFonts w:ascii="Times New Roman" w:hAnsi="Times New Roman" w:cs="Times New Roman"/>
          <w:sz w:val="24"/>
          <w:szCs w:val="24"/>
        </w:rPr>
        <w:t xml:space="preserve"> En cuanto a </w:t>
      </w:r>
      <w:r>
        <w:rPr>
          <w:rFonts w:ascii="Times New Roman" w:hAnsi="Times New Roman" w:cs="Times New Roman"/>
          <w:sz w:val="24"/>
          <w:szCs w:val="24"/>
        </w:rPr>
        <w:t xml:space="preserve">la modificación de </w:t>
      </w:r>
      <w:r w:rsidR="003A79D1">
        <w:rPr>
          <w:rFonts w:ascii="Times New Roman" w:hAnsi="Times New Roman" w:cs="Times New Roman"/>
          <w:sz w:val="24"/>
          <w:szCs w:val="24"/>
        </w:rPr>
        <w:t xml:space="preserve">sus atribuciones, por primera vez este órgano tuvo poder para arbitrar controversias sobre constitucionalidad de leyes y actos de gobierno. </w:t>
      </w:r>
      <w:r w:rsidR="00DF6779">
        <w:rPr>
          <w:rFonts w:ascii="Times New Roman" w:hAnsi="Times New Roman" w:cs="Times New Roman"/>
          <w:sz w:val="24"/>
          <w:szCs w:val="24"/>
        </w:rPr>
        <w:t>Si bien la realización de esa reforma, impulsada por la presidencia de la República, pareció responder a las nuevas condiciones políticas que imponían un Congreso</w:t>
      </w:r>
      <w:r>
        <w:rPr>
          <w:rFonts w:ascii="Times New Roman" w:hAnsi="Times New Roman" w:cs="Times New Roman"/>
          <w:sz w:val="24"/>
          <w:szCs w:val="24"/>
        </w:rPr>
        <w:t xml:space="preserve"> donde por primera vez el PRI no tenía mayoría y por </w:t>
      </w:r>
      <w:r w:rsidR="00DF6779">
        <w:rPr>
          <w:rFonts w:ascii="Times New Roman" w:hAnsi="Times New Roman" w:cs="Times New Roman"/>
          <w:sz w:val="24"/>
          <w:szCs w:val="24"/>
        </w:rPr>
        <w:t>lo tanto</w:t>
      </w:r>
      <w:r w:rsidR="00460048">
        <w:rPr>
          <w:rFonts w:ascii="Times New Roman" w:hAnsi="Times New Roman" w:cs="Times New Roman"/>
          <w:sz w:val="24"/>
          <w:szCs w:val="24"/>
        </w:rPr>
        <w:t xml:space="preserve"> enfre</w:t>
      </w:r>
      <w:r w:rsidR="005B2AC6">
        <w:rPr>
          <w:rFonts w:ascii="Times New Roman" w:hAnsi="Times New Roman" w:cs="Times New Roman"/>
          <w:sz w:val="24"/>
          <w:szCs w:val="24"/>
        </w:rPr>
        <w:t>ntaba</w:t>
      </w:r>
      <w:r>
        <w:rPr>
          <w:rFonts w:ascii="Times New Roman" w:hAnsi="Times New Roman" w:cs="Times New Roman"/>
          <w:sz w:val="24"/>
          <w:szCs w:val="24"/>
        </w:rPr>
        <w:t xml:space="preserve"> </w:t>
      </w:r>
      <w:r w:rsidR="00DF6779">
        <w:rPr>
          <w:rFonts w:ascii="Times New Roman" w:hAnsi="Times New Roman" w:cs="Times New Roman"/>
          <w:sz w:val="24"/>
          <w:szCs w:val="24"/>
        </w:rPr>
        <w:t>una innegable</w:t>
      </w:r>
      <w:r w:rsidR="00DF6779" w:rsidRPr="00043766">
        <w:rPr>
          <w:rFonts w:ascii="Times New Roman" w:hAnsi="Times New Roman" w:cs="Times New Roman"/>
          <w:sz w:val="24"/>
          <w:szCs w:val="24"/>
        </w:rPr>
        <w:t xml:space="preserve"> presencia</w:t>
      </w:r>
      <w:r w:rsidR="00DF6779">
        <w:rPr>
          <w:rFonts w:ascii="Times New Roman" w:hAnsi="Times New Roman" w:cs="Times New Roman"/>
          <w:sz w:val="24"/>
          <w:szCs w:val="24"/>
        </w:rPr>
        <w:t xml:space="preserve"> de</w:t>
      </w:r>
      <w:r w:rsidR="00DF6779" w:rsidRPr="00043766">
        <w:rPr>
          <w:rFonts w:ascii="Times New Roman" w:hAnsi="Times New Roman" w:cs="Times New Roman"/>
          <w:sz w:val="24"/>
          <w:szCs w:val="24"/>
        </w:rPr>
        <w:t xml:space="preserve"> actores</w:t>
      </w:r>
      <w:r w:rsidR="00DF6779">
        <w:rPr>
          <w:rFonts w:ascii="Times New Roman" w:hAnsi="Times New Roman" w:cs="Times New Roman"/>
          <w:sz w:val="24"/>
          <w:szCs w:val="24"/>
        </w:rPr>
        <w:t xml:space="preserve"> de veto</w:t>
      </w:r>
      <w:r w:rsidR="00DF6779" w:rsidRPr="00043766">
        <w:rPr>
          <w:rFonts w:ascii="Times New Roman" w:hAnsi="Times New Roman" w:cs="Times New Roman"/>
          <w:sz w:val="24"/>
          <w:szCs w:val="24"/>
        </w:rPr>
        <w:t xml:space="preserve"> (Magaloni, 2003</w:t>
      </w:r>
      <w:r w:rsidR="000C0C83">
        <w:rPr>
          <w:rFonts w:ascii="Times New Roman" w:hAnsi="Times New Roman" w:cs="Times New Roman"/>
          <w:sz w:val="24"/>
          <w:szCs w:val="24"/>
        </w:rPr>
        <w:t>, Ríos Figueroa, 2007</w:t>
      </w:r>
      <w:r w:rsidR="00DF6779" w:rsidRPr="00043766">
        <w:rPr>
          <w:rFonts w:ascii="Times New Roman" w:hAnsi="Times New Roman" w:cs="Times New Roman"/>
          <w:sz w:val="24"/>
          <w:szCs w:val="24"/>
        </w:rPr>
        <w:t>)</w:t>
      </w:r>
      <w:r w:rsidR="00DF6779">
        <w:rPr>
          <w:rFonts w:ascii="Times New Roman" w:hAnsi="Times New Roman" w:cs="Times New Roman"/>
          <w:sz w:val="24"/>
          <w:szCs w:val="24"/>
        </w:rPr>
        <w:t>, la reforma no tuvo éxito en cuanto a f</w:t>
      </w:r>
      <w:r w:rsidR="00206350" w:rsidRPr="00043766">
        <w:rPr>
          <w:rFonts w:ascii="Times New Roman" w:hAnsi="Times New Roman" w:cs="Times New Roman"/>
          <w:sz w:val="24"/>
          <w:szCs w:val="24"/>
        </w:rPr>
        <w:t xml:space="preserve">ortalecer a </w:t>
      </w:r>
      <w:r w:rsidR="00DF6779">
        <w:rPr>
          <w:rFonts w:ascii="Times New Roman" w:hAnsi="Times New Roman" w:cs="Times New Roman"/>
          <w:sz w:val="24"/>
          <w:szCs w:val="24"/>
        </w:rPr>
        <w:t xml:space="preserve">la Suprema Corte como un verdadero </w:t>
      </w:r>
      <w:r w:rsidR="00206350" w:rsidRPr="00043766">
        <w:rPr>
          <w:rFonts w:ascii="Times New Roman" w:hAnsi="Times New Roman" w:cs="Times New Roman"/>
          <w:sz w:val="24"/>
          <w:szCs w:val="24"/>
        </w:rPr>
        <w:t>contrapeso</w:t>
      </w:r>
      <w:r w:rsidR="00DF6779">
        <w:rPr>
          <w:rFonts w:ascii="Times New Roman" w:hAnsi="Times New Roman" w:cs="Times New Roman"/>
          <w:sz w:val="24"/>
          <w:szCs w:val="24"/>
        </w:rPr>
        <w:t>, al menos durante esa década</w:t>
      </w:r>
      <w:r w:rsidR="00206350" w:rsidRPr="00043766">
        <w:rPr>
          <w:rFonts w:ascii="Times New Roman" w:hAnsi="Times New Roman" w:cs="Times New Roman"/>
          <w:sz w:val="24"/>
          <w:szCs w:val="24"/>
        </w:rPr>
        <w:t xml:space="preserve"> (Schatz, 2000)</w:t>
      </w:r>
      <w:r w:rsidR="008A7381" w:rsidRPr="00043766">
        <w:rPr>
          <w:rFonts w:ascii="Times New Roman" w:hAnsi="Times New Roman" w:cs="Times New Roman"/>
          <w:sz w:val="24"/>
          <w:szCs w:val="24"/>
        </w:rPr>
        <w:t>.</w:t>
      </w:r>
      <w:r w:rsidR="0017643E" w:rsidRPr="00043766">
        <w:rPr>
          <w:rFonts w:ascii="Times New Roman" w:hAnsi="Times New Roman" w:cs="Times New Roman"/>
          <w:sz w:val="24"/>
          <w:szCs w:val="24"/>
        </w:rPr>
        <w:t xml:space="preserve"> </w:t>
      </w:r>
    </w:p>
    <w:p w14:paraId="4A0732A3" w14:textId="77777777" w:rsidR="004F02B6" w:rsidRDefault="00EC5495"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17643E" w:rsidRPr="00043766">
        <w:rPr>
          <w:rFonts w:ascii="Times New Roman" w:hAnsi="Times New Roman" w:cs="Times New Roman"/>
          <w:sz w:val="24"/>
          <w:szCs w:val="24"/>
        </w:rPr>
        <w:t xml:space="preserve">a creación del Consejo de la Judicatura, </w:t>
      </w:r>
      <w:r w:rsidR="00DF6779">
        <w:rPr>
          <w:rFonts w:ascii="Times New Roman" w:hAnsi="Times New Roman" w:cs="Times New Roman"/>
          <w:sz w:val="24"/>
          <w:szCs w:val="24"/>
        </w:rPr>
        <w:t xml:space="preserve">dentro de la </w:t>
      </w:r>
      <w:r>
        <w:rPr>
          <w:rFonts w:ascii="Times New Roman" w:hAnsi="Times New Roman" w:cs="Times New Roman"/>
          <w:sz w:val="24"/>
          <w:szCs w:val="24"/>
        </w:rPr>
        <w:t xml:space="preserve">reforma del 94, no fue suficiente para tener un impacto en la calidad del desempeño del Poder Judicial. </w:t>
      </w:r>
      <w:r w:rsidR="0017643E" w:rsidRPr="00043766">
        <w:rPr>
          <w:rFonts w:ascii="Times New Roman" w:hAnsi="Times New Roman" w:cs="Times New Roman"/>
          <w:sz w:val="24"/>
          <w:szCs w:val="24"/>
        </w:rPr>
        <w:t xml:space="preserve">Según </w:t>
      </w:r>
      <w:r>
        <w:rPr>
          <w:rFonts w:ascii="Times New Roman" w:hAnsi="Times New Roman" w:cs="Times New Roman"/>
          <w:sz w:val="24"/>
          <w:szCs w:val="24"/>
        </w:rPr>
        <w:t xml:space="preserve">algunos </w:t>
      </w:r>
      <w:r w:rsidR="0017643E" w:rsidRPr="00043766">
        <w:rPr>
          <w:rFonts w:ascii="Times New Roman" w:hAnsi="Times New Roman" w:cs="Times New Roman"/>
          <w:sz w:val="24"/>
          <w:szCs w:val="24"/>
        </w:rPr>
        <w:t xml:space="preserve">estudios, los consejos judiciales no necesariamente derivan en </w:t>
      </w:r>
      <w:r>
        <w:rPr>
          <w:rFonts w:ascii="Times New Roman" w:hAnsi="Times New Roman" w:cs="Times New Roman"/>
          <w:sz w:val="24"/>
          <w:szCs w:val="24"/>
        </w:rPr>
        <w:t>un mejoramiento en la impartición de justicia</w:t>
      </w:r>
      <w:r w:rsidR="0017643E" w:rsidRPr="00043766">
        <w:rPr>
          <w:rFonts w:ascii="Times New Roman" w:hAnsi="Times New Roman" w:cs="Times New Roman"/>
          <w:sz w:val="24"/>
          <w:szCs w:val="24"/>
        </w:rPr>
        <w:t>,</w:t>
      </w:r>
      <w:r>
        <w:rPr>
          <w:rFonts w:ascii="Times New Roman" w:hAnsi="Times New Roman" w:cs="Times New Roman"/>
          <w:sz w:val="24"/>
          <w:szCs w:val="24"/>
        </w:rPr>
        <w:t xml:space="preserve"> debido a la </w:t>
      </w:r>
      <w:r w:rsidR="0017643E" w:rsidRPr="00043766">
        <w:rPr>
          <w:rFonts w:ascii="Times New Roman" w:hAnsi="Times New Roman" w:cs="Times New Roman"/>
          <w:sz w:val="24"/>
          <w:szCs w:val="24"/>
        </w:rPr>
        <w:t>complej</w:t>
      </w:r>
      <w:r>
        <w:rPr>
          <w:rFonts w:ascii="Times New Roman" w:hAnsi="Times New Roman" w:cs="Times New Roman"/>
          <w:sz w:val="24"/>
          <w:szCs w:val="24"/>
        </w:rPr>
        <w:t xml:space="preserve">idad de su rol en cuanto a la autonomía del propio sistema judicial </w:t>
      </w:r>
      <w:r w:rsidRPr="00043766">
        <w:rPr>
          <w:rFonts w:ascii="Times New Roman" w:hAnsi="Times New Roman" w:cs="Times New Roman"/>
          <w:sz w:val="24"/>
          <w:szCs w:val="24"/>
        </w:rPr>
        <w:t>(Garoupa y Ginsburg</w:t>
      </w:r>
      <w:r>
        <w:rPr>
          <w:rFonts w:ascii="Times New Roman" w:hAnsi="Times New Roman" w:cs="Times New Roman"/>
          <w:sz w:val="24"/>
          <w:szCs w:val="24"/>
        </w:rPr>
        <w:t>, 2008</w:t>
      </w:r>
      <w:r w:rsidRPr="00043766">
        <w:rPr>
          <w:rFonts w:ascii="Times New Roman" w:hAnsi="Times New Roman" w:cs="Times New Roman"/>
          <w:sz w:val="24"/>
          <w:szCs w:val="24"/>
        </w:rPr>
        <w:t>)</w:t>
      </w:r>
      <w:r w:rsidR="0017643E" w:rsidRPr="00043766">
        <w:rPr>
          <w:rFonts w:ascii="Times New Roman" w:hAnsi="Times New Roman" w:cs="Times New Roman"/>
          <w:sz w:val="24"/>
          <w:szCs w:val="24"/>
        </w:rPr>
        <w:t>.</w:t>
      </w:r>
      <w:r>
        <w:rPr>
          <w:rFonts w:ascii="Times New Roman" w:hAnsi="Times New Roman" w:cs="Times New Roman"/>
          <w:sz w:val="24"/>
          <w:szCs w:val="24"/>
        </w:rPr>
        <w:t xml:space="preserve"> Mientras que</w:t>
      </w:r>
      <w:r w:rsidR="0017643E" w:rsidRPr="00043766">
        <w:rPr>
          <w:rFonts w:ascii="Times New Roman" w:hAnsi="Times New Roman" w:cs="Times New Roman"/>
          <w:sz w:val="24"/>
          <w:szCs w:val="24"/>
        </w:rPr>
        <w:t xml:space="preserve"> Chile</w:t>
      </w:r>
      <w:r>
        <w:rPr>
          <w:rFonts w:ascii="Times New Roman" w:hAnsi="Times New Roman" w:cs="Times New Roman"/>
          <w:sz w:val="24"/>
          <w:szCs w:val="24"/>
        </w:rPr>
        <w:t xml:space="preserve">, sin un </w:t>
      </w:r>
      <w:r w:rsidR="0017643E" w:rsidRPr="00043766">
        <w:rPr>
          <w:rFonts w:ascii="Times New Roman" w:hAnsi="Times New Roman" w:cs="Times New Roman"/>
          <w:sz w:val="24"/>
          <w:szCs w:val="24"/>
        </w:rPr>
        <w:t>consejo</w:t>
      </w:r>
      <w:r>
        <w:rPr>
          <w:rFonts w:ascii="Times New Roman" w:hAnsi="Times New Roman" w:cs="Times New Roman"/>
          <w:sz w:val="24"/>
          <w:szCs w:val="24"/>
        </w:rPr>
        <w:t xml:space="preserve"> equivalente, muestra un mejor </w:t>
      </w:r>
      <w:r w:rsidR="0017643E" w:rsidRPr="00043766">
        <w:rPr>
          <w:rFonts w:ascii="Times New Roman" w:hAnsi="Times New Roman" w:cs="Times New Roman"/>
          <w:sz w:val="24"/>
          <w:szCs w:val="24"/>
        </w:rPr>
        <w:t>desempeño judicial y de Estado de derecho</w:t>
      </w:r>
      <w:r>
        <w:rPr>
          <w:rFonts w:ascii="Times New Roman" w:hAnsi="Times New Roman" w:cs="Times New Roman"/>
          <w:sz w:val="24"/>
          <w:szCs w:val="24"/>
        </w:rPr>
        <w:t>, México sí lo tiene y está por debajo en sus indicadores de calidad en dichos aspectos</w:t>
      </w:r>
      <w:r w:rsidR="0017643E" w:rsidRPr="00043766">
        <w:rPr>
          <w:rFonts w:ascii="Times New Roman" w:hAnsi="Times New Roman" w:cs="Times New Roman"/>
          <w:sz w:val="24"/>
          <w:szCs w:val="24"/>
        </w:rPr>
        <w:t xml:space="preserve">. </w:t>
      </w:r>
      <w:r>
        <w:rPr>
          <w:rFonts w:ascii="Times New Roman" w:hAnsi="Times New Roman" w:cs="Times New Roman"/>
          <w:sz w:val="24"/>
          <w:szCs w:val="24"/>
        </w:rPr>
        <w:t>De hecho, d</w:t>
      </w:r>
      <w:r w:rsidR="00D62F3F">
        <w:rPr>
          <w:rFonts w:ascii="Times New Roman" w:hAnsi="Times New Roman" w:cs="Times New Roman"/>
          <w:sz w:val="24"/>
          <w:szCs w:val="24"/>
        </w:rPr>
        <w:t>esde</w:t>
      </w:r>
      <w:r>
        <w:rPr>
          <w:rFonts w:ascii="Times New Roman" w:hAnsi="Times New Roman" w:cs="Times New Roman"/>
          <w:sz w:val="24"/>
          <w:szCs w:val="24"/>
        </w:rPr>
        <w:t xml:space="preserve"> el momento de su creación, en 1995, se generó</w:t>
      </w:r>
      <w:r w:rsidR="00D62F3F">
        <w:rPr>
          <w:rFonts w:ascii="Times New Roman" w:hAnsi="Times New Roman" w:cs="Times New Roman"/>
          <w:sz w:val="24"/>
          <w:szCs w:val="24"/>
        </w:rPr>
        <w:t xml:space="preserve"> un conflicto</w:t>
      </w:r>
      <w:r w:rsidR="00A12E14">
        <w:rPr>
          <w:rFonts w:ascii="Times New Roman" w:hAnsi="Times New Roman" w:cs="Times New Roman"/>
          <w:sz w:val="24"/>
          <w:szCs w:val="24"/>
        </w:rPr>
        <w:t xml:space="preserve"> por duplicidad de funciones</w:t>
      </w:r>
      <w:r w:rsidR="00D62F3F">
        <w:rPr>
          <w:rFonts w:ascii="Times New Roman" w:hAnsi="Times New Roman" w:cs="Times New Roman"/>
          <w:sz w:val="24"/>
          <w:szCs w:val="24"/>
        </w:rPr>
        <w:t xml:space="preserve">  entre la Suprema y el Consejo de la Judicatura</w:t>
      </w:r>
      <w:r w:rsidR="00A12E14">
        <w:rPr>
          <w:rFonts w:ascii="Times New Roman" w:hAnsi="Times New Roman" w:cs="Times New Roman"/>
          <w:sz w:val="24"/>
          <w:szCs w:val="24"/>
        </w:rPr>
        <w:t xml:space="preserve">. Esta contradicción se resolvió </w:t>
      </w:r>
      <w:r w:rsidR="00D62F3F">
        <w:rPr>
          <w:rFonts w:ascii="Times New Roman" w:hAnsi="Times New Roman" w:cs="Times New Roman"/>
          <w:sz w:val="24"/>
          <w:szCs w:val="24"/>
        </w:rPr>
        <w:t>en 1999</w:t>
      </w:r>
      <w:r w:rsidR="00A12E14">
        <w:rPr>
          <w:rFonts w:ascii="Times New Roman" w:hAnsi="Times New Roman" w:cs="Times New Roman"/>
          <w:sz w:val="24"/>
          <w:szCs w:val="24"/>
        </w:rPr>
        <w:t>,</w:t>
      </w:r>
      <w:r w:rsidR="00D62F3F">
        <w:rPr>
          <w:rFonts w:ascii="Times New Roman" w:hAnsi="Times New Roman" w:cs="Times New Roman"/>
          <w:sz w:val="24"/>
          <w:szCs w:val="24"/>
        </w:rPr>
        <w:t xml:space="preserve"> con una reforma que le d</w:t>
      </w:r>
      <w:r w:rsidR="00A12E14">
        <w:rPr>
          <w:rFonts w:ascii="Times New Roman" w:hAnsi="Times New Roman" w:cs="Times New Roman"/>
          <w:sz w:val="24"/>
          <w:szCs w:val="24"/>
        </w:rPr>
        <w:t>io</w:t>
      </w:r>
      <w:r w:rsidR="00D62F3F">
        <w:rPr>
          <w:rFonts w:ascii="Times New Roman" w:hAnsi="Times New Roman" w:cs="Times New Roman"/>
          <w:sz w:val="24"/>
          <w:szCs w:val="24"/>
        </w:rPr>
        <w:t xml:space="preserve"> a la Suprema</w:t>
      </w:r>
      <w:r w:rsidR="00A12E14">
        <w:rPr>
          <w:rFonts w:ascii="Times New Roman" w:hAnsi="Times New Roman" w:cs="Times New Roman"/>
          <w:sz w:val="24"/>
          <w:szCs w:val="24"/>
        </w:rPr>
        <w:t xml:space="preserve"> Corte facultades para </w:t>
      </w:r>
      <w:r w:rsidR="00D62F3F">
        <w:rPr>
          <w:rFonts w:ascii="Times New Roman" w:hAnsi="Times New Roman" w:cs="Times New Roman"/>
          <w:sz w:val="24"/>
          <w:szCs w:val="24"/>
        </w:rPr>
        <w:t>nombra</w:t>
      </w:r>
      <w:r w:rsidR="00A12E14">
        <w:rPr>
          <w:rFonts w:ascii="Times New Roman" w:hAnsi="Times New Roman" w:cs="Times New Roman"/>
          <w:sz w:val="24"/>
          <w:szCs w:val="24"/>
        </w:rPr>
        <w:t>r</w:t>
      </w:r>
      <w:r w:rsidR="00D62F3F">
        <w:rPr>
          <w:rFonts w:ascii="Times New Roman" w:hAnsi="Times New Roman" w:cs="Times New Roman"/>
          <w:sz w:val="24"/>
          <w:szCs w:val="24"/>
        </w:rPr>
        <w:t xml:space="preserve"> a 4 de</w:t>
      </w:r>
      <w:r w:rsidR="00A12E14">
        <w:rPr>
          <w:rFonts w:ascii="Times New Roman" w:hAnsi="Times New Roman" w:cs="Times New Roman"/>
          <w:sz w:val="24"/>
          <w:szCs w:val="24"/>
        </w:rPr>
        <w:t xml:space="preserve"> los</w:t>
      </w:r>
      <w:r w:rsidR="00D62F3F">
        <w:rPr>
          <w:rFonts w:ascii="Times New Roman" w:hAnsi="Times New Roman" w:cs="Times New Roman"/>
          <w:sz w:val="24"/>
          <w:szCs w:val="24"/>
        </w:rPr>
        <w:t xml:space="preserve"> siete integrantes</w:t>
      </w:r>
      <w:r w:rsidR="00A12E14">
        <w:rPr>
          <w:rFonts w:ascii="Times New Roman" w:hAnsi="Times New Roman" w:cs="Times New Roman"/>
          <w:sz w:val="24"/>
          <w:szCs w:val="24"/>
        </w:rPr>
        <w:t xml:space="preserve"> de</w:t>
      </w:r>
      <w:r w:rsidR="005B2AC6">
        <w:rPr>
          <w:rFonts w:ascii="Times New Roman" w:hAnsi="Times New Roman" w:cs="Times New Roman"/>
          <w:sz w:val="24"/>
          <w:szCs w:val="24"/>
        </w:rPr>
        <w:t xml:space="preserve"> dicho órgano</w:t>
      </w:r>
      <w:r w:rsidR="00D62F3F">
        <w:rPr>
          <w:rFonts w:ascii="Times New Roman" w:hAnsi="Times New Roman" w:cs="Times New Roman"/>
          <w:sz w:val="24"/>
          <w:szCs w:val="24"/>
        </w:rPr>
        <w:t>,</w:t>
      </w:r>
      <w:r w:rsidR="00A12E14">
        <w:rPr>
          <w:rFonts w:ascii="Times New Roman" w:hAnsi="Times New Roman" w:cs="Times New Roman"/>
          <w:sz w:val="24"/>
          <w:szCs w:val="24"/>
        </w:rPr>
        <w:t xml:space="preserve"> para</w:t>
      </w:r>
      <w:r w:rsidR="00D62F3F">
        <w:rPr>
          <w:rFonts w:ascii="Times New Roman" w:hAnsi="Times New Roman" w:cs="Times New Roman"/>
          <w:sz w:val="24"/>
          <w:szCs w:val="24"/>
        </w:rPr>
        <w:t xml:space="preserve"> revisar sus resoluciones y</w:t>
      </w:r>
      <w:r w:rsidR="00A12E14">
        <w:rPr>
          <w:rFonts w:ascii="Times New Roman" w:hAnsi="Times New Roman" w:cs="Times New Roman"/>
          <w:sz w:val="24"/>
          <w:szCs w:val="24"/>
        </w:rPr>
        <w:t xml:space="preserve"> para</w:t>
      </w:r>
      <w:r w:rsidR="00D62F3F">
        <w:rPr>
          <w:rFonts w:ascii="Times New Roman" w:hAnsi="Times New Roman" w:cs="Times New Roman"/>
          <w:sz w:val="24"/>
          <w:szCs w:val="24"/>
        </w:rPr>
        <w:t xml:space="preserve"> ordenarle la expedición de</w:t>
      </w:r>
      <w:r w:rsidR="00A12E14">
        <w:rPr>
          <w:rFonts w:ascii="Times New Roman" w:hAnsi="Times New Roman" w:cs="Times New Roman"/>
          <w:sz w:val="24"/>
          <w:szCs w:val="24"/>
        </w:rPr>
        <w:t xml:space="preserve"> determinados acuerdos generales</w:t>
      </w:r>
      <w:r w:rsidR="00D62F3F">
        <w:rPr>
          <w:rFonts w:ascii="Times New Roman" w:hAnsi="Times New Roman" w:cs="Times New Roman"/>
          <w:sz w:val="24"/>
          <w:szCs w:val="24"/>
        </w:rPr>
        <w:t xml:space="preserve">, </w:t>
      </w:r>
      <w:r w:rsidR="00A12E14">
        <w:rPr>
          <w:rFonts w:ascii="Times New Roman" w:hAnsi="Times New Roman" w:cs="Times New Roman"/>
          <w:sz w:val="24"/>
          <w:szCs w:val="24"/>
        </w:rPr>
        <w:t xml:space="preserve">contraviniendo </w:t>
      </w:r>
      <w:r w:rsidR="00D62F3F">
        <w:rPr>
          <w:rFonts w:ascii="Times New Roman" w:hAnsi="Times New Roman" w:cs="Times New Roman"/>
          <w:sz w:val="24"/>
          <w:szCs w:val="24"/>
        </w:rPr>
        <w:t>el espíritu original de la creación del Consejo al restarle autonomía (Fix Fierro, 2004).</w:t>
      </w:r>
      <w:r w:rsidR="003A79D1">
        <w:rPr>
          <w:rFonts w:ascii="Times New Roman" w:hAnsi="Times New Roman" w:cs="Times New Roman"/>
          <w:sz w:val="24"/>
          <w:szCs w:val="24"/>
        </w:rPr>
        <w:t xml:space="preserve"> </w:t>
      </w:r>
    </w:p>
    <w:p w14:paraId="112E8344"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Chile, ya algunos estudios han hecho notar que ha seguido una ruta atípica en su proceso de democratización, atravesando primero por una transición </w:t>
      </w:r>
      <w:r w:rsidRPr="00043766">
        <w:rPr>
          <w:rFonts w:ascii="Times New Roman" w:hAnsi="Times New Roman" w:cs="Times New Roman"/>
          <w:sz w:val="24"/>
          <w:szCs w:val="24"/>
        </w:rPr>
        <w:t>hacia</w:t>
      </w:r>
      <w:r>
        <w:rPr>
          <w:rFonts w:ascii="Times New Roman" w:hAnsi="Times New Roman" w:cs="Times New Roman"/>
          <w:sz w:val="24"/>
          <w:szCs w:val="24"/>
        </w:rPr>
        <w:t xml:space="preserve"> una</w:t>
      </w:r>
      <w:r w:rsidRPr="00043766">
        <w:rPr>
          <w:rFonts w:ascii="Times New Roman" w:hAnsi="Times New Roman" w:cs="Times New Roman"/>
          <w:sz w:val="24"/>
          <w:szCs w:val="24"/>
        </w:rPr>
        <w:t xml:space="preserve"> administración burocrática, no patrimonialista, antes</w:t>
      </w:r>
      <w:r>
        <w:rPr>
          <w:rFonts w:ascii="Times New Roman" w:hAnsi="Times New Roman" w:cs="Times New Roman"/>
          <w:sz w:val="24"/>
          <w:szCs w:val="24"/>
        </w:rPr>
        <w:t xml:space="preserve"> que por una transición </w:t>
      </w:r>
      <w:r w:rsidRPr="00043766">
        <w:rPr>
          <w:rFonts w:ascii="Times New Roman" w:hAnsi="Times New Roman" w:cs="Times New Roman"/>
          <w:sz w:val="24"/>
          <w:szCs w:val="24"/>
        </w:rPr>
        <w:t>democrática</w:t>
      </w:r>
      <w:r>
        <w:rPr>
          <w:rFonts w:ascii="Times New Roman" w:hAnsi="Times New Roman" w:cs="Times New Roman"/>
          <w:sz w:val="24"/>
          <w:szCs w:val="24"/>
        </w:rPr>
        <w:t>, pues mientras d</w:t>
      </w:r>
      <w:r w:rsidRPr="00043766">
        <w:rPr>
          <w:rFonts w:ascii="Times New Roman" w:hAnsi="Times New Roman" w:cs="Times New Roman"/>
          <w:sz w:val="24"/>
          <w:szCs w:val="24"/>
        </w:rPr>
        <w:t>urante los</w:t>
      </w:r>
      <w:r>
        <w:rPr>
          <w:rFonts w:ascii="Times New Roman" w:hAnsi="Times New Roman" w:cs="Times New Roman"/>
          <w:sz w:val="24"/>
          <w:szCs w:val="24"/>
        </w:rPr>
        <w:t xml:space="preserve"> años</w:t>
      </w:r>
      <w:r w:rsidRPr="00043766">
        <w:rPr>
          <w:rFonts w:ascii="Times New Roman" w:hAnsi="Times New Roman" w:cs="Times New Roman"/>
          <w:sz w:val="24"/>
          <w:szCs w:val="24"/>
        </w:rPr>
        <w:t xml:space="preserve"> 90</w:t>
      </w:r>
      <w:r>
        <w:rPr>
          <w:rFonts w:ascii="Times New Roman" w:hAnsi="Times New Roman" w:cs="Times New Roman"/>
          <w:sz w:val="24"/>
          <w:szCs w:val="24"/>
        </w:rPr>
        <w:t xml:space="preserve"> las instituciones </w:t>
      </w:r>
      <w:r w:rsidRPr="00043766">
        <w:rPr>
          <w:rFonts w:ascii="Times New Roman" w:hAnsi="Times New Roman" w:cs="Times New Roman"/>
          <w:sz w:val="24"/>
          <w:szCs w:val="24"/>
        </w:rPr>
        <w:t>de acceso al poder</w:t>
      </w:r>
      <w:r>
        <w:rPr>
          <w:rFonts w:ascii="Times New Roman" w:hAnsi="Times New Roman" w:cs="Times New Roman"/>
          <w:sz w:val="24"/>
          <w:szCs w:val="24"/>
        </w:rPr>
        <w:t xml:space="preserve"> mostraban </w:t>
      </w:r>
      <w:r w:rsidRPr="00043766">
        <w:rPr>
          <w:rFonts w:ascii="Times New Roman" w:hAnsi="Times New Roman" w:cs="Times New Roman"/>
          <w:sz w:val="24"/>
          <w:szCs w:val="24"/>
        </w:rPr>
        <w:t>baja c</w:t>
      </w:r>
      <w:r>
        <w:rPr>
          <w:rFonts w:ascii="Times New Roman" w:hAnsi="Times New Roman" w:cs="Times New Roman"/>
          <w:sz w:val="24"/>
          <w:szCs w:val="24"/>
        </w:rPr>
        <w:t>alidad, su nivel de ejercicio era alto</w:t>
      </w:r>
      <w:r w:rsidRPr="00043766">
        <w:rPr>
          <w:rFonts w:ascii="Times New Roman" w:hAnsi="Times New Roman" w:cs="Times New Roman"/>
          <w:sz w:val="24"/>
          <w:szCs w:val="24"/>
        </w:rPr>
        <w:t xml:space="preserve"> por</w:t>
      </w:r>
      <w:r>
        <w:rPr>
          <w:rFonts w:ascii="Times New Roman" w:hAnsi="Times New Roman" w:cs="Times New Roman"/>
          <w:sz w:val="24"/>
          <w:szCs w:val="24"/>
        </w:rPr>
        <w:t xml:space="preserve"> los bajos</w:t>
      </w:r>
      <w:r w:rsidRPr="00043766">
        <w:rPr>
          <w:rFonts w:ascii="Times New Roman" w:hAnsi="Times New Roman" w:cs="Times New Roman"/>
          <w:sz w:val="24"/>
          <w:szCs w:val="24"/>
        </w:rPr>
        <w:t xml:space="preserve"> niveles de corrupción y </w:t>
      </w:r>
      <w:r>
        <w:rPr>
          <w:rFonts w:ascii="Times New Roman" w:hAnsi="Times New Roman" w:cs="Times New Roman"/>
          <w:sz w:val="24"/>
          <w:szCs w:val="24"/>
        </w:rPr>
        <w:t>el buen desempeño en el Estado de derecho</w:t>
      </w:r>
      <w:r w:rsidRPr="00043766">
        <w:rPr>
          <w:rFonts w:ascii="Times New Roman" w:hAnsi="Times New Roman" w:cs="Times New Roman"/>
          <w:sz w:val="24"/>
          <w:szCs w:val="24"/>
        </w:rPr>
        <w:t xml:space="preserve">  (Mazzuca,  2010).</w:t>
      </w:r>
      <w:r>
        <w:rPr>
          <w:rFonts w:ascii="Times New Roman" w:hAnsi="Times New Roman" w:cs="Times New Roman"/>
          <w:sz w:val="24"/>
          <w:szCs w:val="24"/>
        </w:rPr>
        <w:t xml:space="preserve"> Desde el inicio de su transición, Chile mostró una peculiaridad relacionada con el notable poder que los militares mantuvieron durante y después del proceso. Esto dio lugar a lo que algunos como Garretón (1989, 2002) han llamado los “enclaves autoritarios”, las prerrogativas militares (Linz y Stepan, 1996), o los “enclaves transicionales” (Sehnbruch y Siavelis, 2013). La cohesión de la jerarquía militar chilena y el apoyo que mantenían entre sectores civiles como el empresarial, les permitió imponer ciertos términos en la transición, como la permanencia de la Constitución del 80 aún para los primeros gobiernos democráticos. Esta constitución </w:t>
      </w:r>
      <w:r>
        <w:rPr>
          <w:rFonts w:ascii="Times New Roman" w:hAnsi="Times New Roman" w:cs="Times New Roman"/>
          <w:sz w:val="24"/>
          <w:szCs w:val="24"/>
        </w:rPr>
        <w:lastRenderedPageBreak/>
        <w:t>establecía poderes no de</w:t>
      </w:r>
      <w:r w:rsidRPr="00043766">
        <w:rPr>
          <w:rFonts w:ascii="Times New Roman" w:hAnsi="Times New Roman" w:cs="Times New Roman"/>
          <w:sz w:val="24"/>
          <w:szCs w:val="24"/>
        </w:rPr>
        <w:t xml:space="preserve">mocráticos </w:t>
      </w:r>
      <w:r w:rsidRPr="00946CD6">
        <w:rPr>
          <w:rFonts w:ascii="Times New Roman" w:hAnsi="Times New Roman" w:cs="Times New Roman"/>
          <w:i/>
          <w:sz w:val="24"/>
          <w:szCs w:val="24"/>
        </w:rPr>
        <w:t>de jure</w:t>
      </w:r>
      <w:r w:rsidRPr="00043766">
        <w:rPr>
          <w:rFonts w:ascii="Times New Roman" w:hAnsi="Times New Roman" w:cs="Times New Roman"/>
          <w:sz w:val="24"/>
          <w:szCs w:val="24"/>
        </w:rPr>
        <w:t>, como los 9 senadores designados,</w:t>
      </w:r>
      <w:r>
        <w:rPr>
          <w:rFonts w:ascii="Times New Roman" w:hAnsi="Times New Roman" w:cs="Times New Roman"/>
          <w:sz w:val="24"/>
          <w:szCs w:val="24"/>
        </w:rPr>
        <w:t xml:space="preserve"> así como la</w:t>
      </w:r>
      <w:r w:rsidRPr="00043766">
        <w:rPr>
          <w:rFonts w:ascii="Times New Roman" w:hAnsi="Times New Roman" w:cs="Times New Roman"/>
          <w:sz w:val="24"/>
          <w:szCs w:val="24"/>
        </w:rPr>
        <w:t xml:space="preserve"> inamovilidad de Pi</w:t>
      </w:r>
      <w:r>
        <w:rPr>
          <w:rFonts w:ascii="Times New Roman" w:hAnsi="Times New Roman" w:cs="Times New Roman"/>
          <w:sz w:val="24"/>
          <w:szCs w:val="24"/>
        </w:rPr>
        <w:t>nochet y otros generales en la a</w:t>
      </w:r>
      <w:r w:rsidRPr="00043766">
        <w:rPr>
          <w:rFonts w:ascii="Times New Roman" w:hAnsi="Times New Roman" w:cs="Times New Roman"/>
          <w:sz w:val="24"/>
          <w:szCs w:val="24"/>
        </w:rPr>
        <w:t>rmada,</w:t>
      </w:r>
      <w:r>
        <w:rPr>
          <w:rFonts w:ascii="Times New Roman" w:hAnsi="Times New Roman" w:cs="Times New Roman"/>
          <w:sz w:val="24"/>
          <w:szCs w:val="24"/>
        </w:rPr>
        <w:t xml:space="preserve"> la marina,</w:t>
      </w:r>
      <w:r w:rsidRPr="00043766">
        <w:rPr>
          <w:rFonts w:ascii="Times New Roman" w:hAnsi="Times New Roman" w:cs="Times New Roman"/>
          <w:sz w:val="24"/>
          <w:szCs w:val="24"/>
        </w:rPr>
        <w:t xml:space="preserve"> </w:t>
      </w:r>
      <w:r>
        <w:rPr>
          <w:rFonts w:ascii="Times New Roman" w:hAnsi="Times New Roman" w:cs="Times New Roman"/>
          <w:sz w:val="24"/>
          <w:szCs w:val="24"/>
        </w:rPr>
        <w:t>la fuerza aérea</w:t>
      </w:r>
      <w:r w:rsidRPr="00043766">
        <w:rPr>
          <w:rFonts w:ascii="Times New Roman" w:hAnsi="Times New Roman" w:cs="Times New Roman"/>
          <w:sz w:val="24"/>
          <w:szCs w:val="24"/>
        </w:rPr>
        <w:t xml:space="preserve"> y </w:t>
      </w:r>
      <w:r>
        <w:rPr>
          <w:rFonts w:ascii="Times New Roman" w:hAnsi="Times New Roman" w:cs="Times New Roman"/>
          <w:sz w:val="24"/>
          <w:szCs w:val="24"/>
        </w:rPr>
        <w:t xml:space="preserve">la </w:t>
      </w:r>
      <w:r w:rsidRPr="00043766">
        <w:rPr>
          <w:rFonts w:ascii="Times New Roman" w:hAnsi="Times New Roman" w:cs="Times New Roman"/>
          <w:sz w:val="24"/>
          <w:szCs w:val="24"/>
        </w:rPr>
        <w:t>policía,</w:t>
      </w:r>
      <w:r>
        <w:rPr>
          <w:rFonts w:ascii="Times New Roman" w:hAnsi="Times New Roman" w:cs="Times New Roman"/>
          <w:sz w:val="24"/>
          <w:szCs w:val="24"/>
        </w:rPr>
        <w:t xml:space="preserve"> quienes además tenían</w:t>
      </w:r>
      <w:r w:rsidRPr="00043766">
        <w:rPr>
          <w:rFonts w:ascii="Times New Roman" w:hAnsi="Times New Roman" w:cs="Times New Roman"/>
          <w:sz w:val="24"/>
          <w:szCs w:val="24"/>
        </w:rPr>
        <w:t xml:space="preserve"> voz y voto en </w:t>
      </w:r>
      <w:r>
        <w:rPr>
          <w:rFonts w:ascii="Times New Roman" w:hAnsi="Times New Roman" w:cs="Times New Roman"/>
          <w:sz w:val="24"/>
          <w:szCs w:val="24"/>
        </w:rPr>
        <w:t xml:space="preserve">el </w:t>
      </w:r>
      <w:r w:rsidRPr="00043766">
        <w:rPr>
          <w:rFonts w:ascii="Times New Roman" w:hAnsi="Times New Roman" w:cs="Times New Roman"/>
          <w:sz w:val="24"/>
          <w:szCs w:val="24"/>
        </w:rPr>
        <w:t>Consejo Nacional de Seguridad</w:t>
      </w:r>
      <w:r>
        <w:rPr>
          <w:rFonts w:ascii="Times New Roman" w:hAnsi="Times New Roman" w:cs="Times New Roman"/>
          <w:sz w:val="24"/>
          <w:szCs w:val="24"/>
        </w:rPr>
        <w:t>. Adicionalmente, establecía un sistema electoral que impedía a la oposición, la coalición de izquierda, obtener mayoría en la Cámara de Diputados pese a ganar en las urnas</w:t>
      </w:r>
      <w:r w:rsidRPr="00043766">
        <w:rPr>
          <w:rFonts w:ascii="Times New Roman" w:hAnsi="Times New Roman" w:cs="Times New Roman"/>
          <w:sz w:val="24"/>
          <w:szCs w:val="24"/>
        </w:rPr>
        <w:t>. También</w:t>
      </w:r>
      <w:r>
        <w:rPr>
          <w:rFonts w:ascii="Times New Roman" w:hAnsi="Times New Roman" w:cs="Times New Roman"/>
          <w:sz w:val="24"/>
          <w:szCs w:val="24"/>
        </w:rPr>
        <w:t xml:space="preserve"> establecía una </w:t>
      </w:r>
      <w:r w:rsidRPr="00043766">
        <w:rPr>
          <w:rFonts w:ascii="Times New Roman" w:hAnsi="Times New Roman" w:cs="Times New Roman"/>
          <w:sz w:val="24"/>
          <w:szCs w:val="24"/>
        </w:rPr>
        <w:t>Corte Constitucional</w:t>
      </w:r>
      <w:r>
        <w:rPr>
          <w:rFonts w:ascii="Times New Roman" w:hAnsi="Times New Roman" w:cs="Times New Roman"/>
          <w:sz w:val="24"/>
          <w:szCs w:val="24"/>
        </w:rPr>
        <w:t>,</w:t>
      </w:r>
      <w:r w:rsidRPr="00043766">
        <w:rPr>
          <w:rFonts w:ascii="Times New Roman" w:hAnsi="Times New Roman" w:cs="Times New Roman"/>
          <w:sz w:val="24"/>
          <w:szCs w:val="24"/>
        </w:rPr>
        <w:t xml:space="preserve"> con 7 miembros designados por Pinochet, inamovibles hasta su retiro a los 75 años. Esta corte </w:t>
      </w:r>
      <w:r>
        <w:rPr>
          <w:rFonts w:ascii="Times New Roman" w:hAnsi="Times New Roman" w:cs="Times New Roman"/>
          <w:sz w:val="24"/>
          <w:szCs w:val="24"/>
        </w:rPr>
        <w:t>era la única que podía ap</w:t>
      </w:r>
      <w:r w:rsidRPr="00043766">
        <w:rPr>
          <w:rFonts w:ascii="Times New Roman" w:hAnsi="Times New Roman" w:cs="Times New Roman"/>
          <w:sz w:val="24"/>
          <w:szCs w:val="24"/>
        </w:rPr>
        <w:t xml:space="preserve">robar cualquier cambio a la constitución </w:t>
      </w:r>
      <w:r>
        <w:rPr>
          <w:rFonts w:ascii="Times New Roman" w:hAnsi="Times New Roman" w:cs="Times New Roman"/>
          <w:sz w:val="24"/>
          <w:szCs w:val="24"/>
        </w:rPr>
        <w:t xml:space="preserve">heredada </w:t>
      </w:r>
      <w:r w:rsidRPr="00043766">
        <w:rPr>
          <w:rFonts w:ascii="Times New Roman" w:hAnsi="Times New Roman" w:cs="Times New Roman"/>
          <w:sz w:val="24"/>
          <w:szCs w:val="24"/>
        </w:rPr>
        <w:t>o</w:t>
      </w:r>
      <w:r>
        <w:rPr>
          <w:rFonts w:ascii="Times New Roman" w:hAnsi="Times New Roman" w:cs="Times New Roman"/>
          <w:sz w:val="24"/>
          <w:szCs w:val="24"/>
        </w:rPr>
        <w:t xml:space="preserve"> a sus leyes orgánicas, de modo que impedía a los gobiernos democráticos realizar las reformas, como las electorales, esperadas por sectores sociales importantes. De hecho, la naturaleza de los pactos de transición dejaron fuera de posibles reformas temas como el sistema electoral y la competencia partidista, por lo que los primeros gobiernos democráticos fueron incapaces de realizar cambios radicales en dichas materias y otras, manteniendo un esquema de “cuoteo” en la asignación de cargos en los gabinetes y una pauta elitista en la toma de decisiones que permitió una transición y luego una consolidación exitosas, pero limitando la participación y generando insatisfacción en amplios sectores de la sociedad (Sehnbruch y Siavelis, 2013). De esta forma, el primer gobierno electo, el de </w:t>
      </w:r>
      <w:r w:rsidRPr="00043766">
        <w:rPr>
          <w:rFonts w:ascii="Times New Roman" w:hAnsi="Times New Roman" w:cs="Times New Roman"/>
          <w:sz w:val="24"/>
          <w:szCs w:val="24"/>
        </w:rPr>
        <w:t>Aylwin</w:t>
      </w:r>
      <w:r>
        <w:rPr>
          <w:rFonts w:ascii="Times New Roman" w:hAnsi="Times New Roman" w:cs="Times New Roman"/>
          <w:sz w:val="24"/>
          <w:szCs w:val="24"/>
        </w:rPr>
        <w:t>, no pudo desmantelar el arreglo institucional que privilegiaba a los militares, logrando sólo la realización de</w:t>
      </w:r>
      <w:r w:rsidRPr="00043766">
        <w:rPr>
          <w:rFonts w:ascii="Times New Roman" w:hAnsi="Times New Roman" w:cs="Times New Roman"/>
          <w:sz w:val="24"/>
          <w:szCs w:val="24"/>
        </w:rPr>
        <w:t xml:space="preserve"> elecciones municipales</w:t>
      </w:r>
      <w:r>
        <w:rPr>
          <w:rFonts w:ascii="Times New Roman" w:hAnsi="Times New Roman" w:cs="Times New Roman"/>
          <w:sz w:val="24"/>
          <w:szCs w:val="24"/>
        </w:rPr>
        <w:t xml:space="preserve"> abiertas</w:t>
      </w:r>
      <w:r w:rsidRPr="00043766">
        <w:rPr>
          <w:rFonts w:ascii="Times New Roman" w:hAnsi="Times New Roman" w:cs="Times New Roman"/>
          <w:sz w:val="24"/>
          <w:szCs w:val="24"/>
        </w:rPr>
        <w:t xml:space="preserve"> en 1992</w:t>
      </w:r>
      <w:r>
        <w:rPr>
          <w:rFonts w:ascii="Times New Roman" w:hAnsi="Times New Roman" w:cs="Times New Roman"/>
          <w:sz w:val="24"/>
          <w:szCs w:val="24"/>
        </w:rPr>
        <w:t>, limitándose a “administrar las tareas pendientes de la transición” sin lograr ninguna reforma de fondo (Garretón, 2002) y concluyendo su mandato con un poder</w:t>
      </w:r>
      <w:r w:rsidRPr="00043766">
        <w:rPr>
          <w:rFonts w:ascii="Times New Roman" w:hAnsi="Times New Roman" w:cs="Times New Roman"/>
          <w:sz w:val="24"/>
          <w:szCs w:val="24"/>
        </w:rPr>
        <w:t xml:space="preserve"> </w:t>
      </w:r>
      <w:r>
        <w:rPr>
          <w:rFonts w:ascii="Times New Roman" w:hAnsi="Times New Roman" w:cs="Times New Roman"/>
          <w:sz w:val="24"/>
          <w:szCs w:val="24"/>
        </w:rPr>
        <w:t xml:space="preserve"> compartido </w:t>
      </w:r>
      <w:r w:rsidRPr="00043766">
        <w:rPr>
          <w:rFonts w:ascii="Times New Roman" w:hAnsi="Times New Roman" w:cs="Times New Roman"/>
          <w:sz w:val="24"/>
          <w:szCs w:val="24"/>
        </w:rPr>
        <w:t xml:space="preserve">con </w:t>
      </w:r>
      <w:r>
        <w:rPr>
          <w:rFonts w:ascii="Times New Roman" w:hAnsi="Times New Roman" w:cs="Times New Roman"/>
          <w:sz w:val="24"/>
          <w:szCs w:val="24"/>
        </w:rPr>
        <w:t>actores de origen no democrático</w:t>
      </w:r>
      <w:r w:rsidRPr="00043766">
        <w:rPr>
          <w:rFonts w:ascii="Times New Roman" w:hAnsi="Times New Roman" w:cs="Times New Roman"/>
          <w:sz w:val="24"/>
          <w:szCs w:val="24"/>
        </w:rPr>
        <w:t>.</w:t>
      </w:r>
      <w:r>
        <w:rPr>
          <w:rFonts w:ascii="Times New Roman" w:hAnsi="Times New Roman" w:cs="Times New Roman"/>
          <w:sz w:val="24"/>
          <w:szCs w:val="24"/>
        </w:rPr>
        <w:t xml:space="preserve"> </w:t>
      </w:r>
    </w:p>
    <w:p w14:paraId="406E7855"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El segundo gobierno democrático chileno, el de Frei Ruiz-Tagle (1994-2000), pese a haber sido criticado por su falta de conducción política y por limitarse a proponer un proyecto de modernización de corte económico hacendario y a ignorar los grandes temas del debate chileno sobre la democratización (Garretón, 2002), realizó una importante reforma judicial que reestructuró un sistema con casi un siglo de antiguedad (Rojas Aravena, 2002). Esta reforma modificó a fondo todo el sistema</w:t>
      </w:r>
      <w:r w:rsidRPr="00043766">
        <w:rPr>
          <w:rFonts w:ascii="Times New Roman" w:hAnsi="Times New Roman" w:cs="Times New Roman"/>
          <w:sz w:val="24"/>
          <w:szCs w:val="24"/>
        </w:rPr>
        <w:t xml:space="preserve"> proced</w:t>
      </w:r>
      <w:r>
        <w:rPr>
          <w:rFonts w:ascii="Times New Roman" w:hAnsi="Times New Roman" w:cs="Times New Roman"/>
          <w:sz w:val="24"/>
          <w:szCs w:val="24"/>
        </w:rPr>
        <w:t>imental penal, creó el Ministerio de lo Público,</w:t>
      </w:r>
      <w:r w:rsidRPr="00043766">
        <w:rPr>
          <w:rFonts w:ascii="Times New Roman" w:hAnsi="Times New Roman" w:cs="Times New Roman"/>
          <w:sz w:val="24"/>
          <w:szCs w:val="24"/>
        </w:rPr>
        <w:t xml:space="preserve"> </w:t>
      </w:r>
      <w:r>
        <w:rPr>
          <w:rFonts w:ascii="Times New Roman" w:hAnsi="Times New Roman" w:cs="Times New Roman"/>
          <w:sz w:val="24"/>
          <w:szCs w:val="24"/>
        </w:rPr>
        <w:t>renovó</w:t>
      </w:r>
      <w:r w:rsidRPr="00043766">
        <w:rPr>
          <w:rFonts w:ascii="Times New Roman" w:hAnsi="Times New Roman" w:cs="Times New Roman"/>
          <w:sz w:val="24"/>
          <w:szCs w:val="24"/>
        </w:rPr>
        <w:t xml:space="preserve"> la </w:t>
      </w:r>
      <w:r>
        <w:rPr>
          <w:rFonts w:ascii="Times New Roman" w:hAnsi="Times New Roman" w:cs="Times New Roman"/>
          <w:sz w:val="24"/>
          <w:szCs w:val="24"/>
        </w:rPr>
        <w:t>Suprema Corte heredada de Pinochet y creó la Academia Judicial</w:t>
      </w:r>
      <w:r w:rsidRPr="00043766">
        <w:rPr>
          <w:rFonts w:ascii="Times New Roman" w:hAnsi="Times New Roman" w:cs="Times New Roman"/>
          <w:sz w:val="24"/>
          <w:szCs w:val="24"/>
        </w:rPr>
        <w:t>.</w:t>
      </w:r>
      <w:r>
        <w:rPr>
          <w:rFonts w:ascii="Times New Roman" w:hAnsi="Times New Roman" w:cs="Times New Roman"/>
          <w:sz w:val="24"/>
          <w:szCs w:val="24"/>
        </w:rPr>
        <w:t xml:space="preserve"> Uno de sus efectos importantes fue hacer real el</w:t>
      </w:r>
      <w:r w:rsidRPr="00043766">
        <w:rPr>
          <w:rFonts w:ascii="Times New Roman" w:hAnsi="Times New Roman" w:cs="Times New Roman"/>
          <w:sz w:val="24"/>
          <w:szCs w:val="24"/>
        </w:rPr>
        <w:t xml:space="preserve"> combate a </w:t>
      </w:r>
      <w:r>
        <w:rPr>
          <w:rFonts w:ascii="Times New Roman" w:hAnsi="Times New Roman" w:cs="Times New Roman"/>
          <w:sz w:val="24"/>
          <w:szCs w:val="24"/>
        </w:rPr>
        <w:t xml:space="preserve">la </w:t>
      </w:r>
      <w:r w:rsidRPr="00043766">
        <w:rPr>
          <w:rFonts w:ascii="Times New Roman" w:hAnsi="Times New Roman" w:cs="Times New Roman"/>
          <w:sz w:val="24"/>
          <w:szCs w:val="24"/>
        </w:rPr>
        <w:t>corrupción. (Ruiz, 2011).</w:t>
      </w:r>
      <w:r>
        <w:rPr>
          <w:rFonts w:ascii="Times New Roman" w:hAnsi="Times New Roman" w:cs="Times New Roman"/>
          <w:sz w:val="24"/>
          <w:szCs w:val="24"/>
        </w:rPr>
        <w:t xml:space="preserve">  Además, si bien no era posible en ese momento someter a juicio a los militares por las violaciones a los derechos humanos durante la dictadura, se creó la mesa de diálogo sobre los desaparecidos y ello dio lugar a que los militares asumieran su responsabilidad institucional y acabó fortaleciendo la perspectiva judicial para resolver el problema (Rojas Aravena, 2002).</w:t>
      </w:r>
    </w:p>
    <w:p w14:paraId="690B2A4C"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Además de las reformas en materia judicial recién mencionadas, otro factor que contribuyó a que durante esa década se sentaran las bases para el fortalecimiento del Estado de derecho en Chile, fue el papel del Tribunal Constitucional. Si bien éste, disuelto durante la dictadura pero reinstaurado en la Constitución del 80, no tenía una composición de origen democrático durante los primeros años post-dictadura, contaba con facultades de revisión constitucional sobre decisiones del Ejecutivo que fueron realmente ejercidas y que lo fortalecieron desde el inicio. Dicho Tribunal fue muy utilizado por la oposición de centro derecha para retardar acciones de los nuevos gobiernos democráticos de centro-izquierda, de modo que el contexto de competencia y el ejercicio de sus facultades le permitieron convertirse en un agente fundamental de contrapeso y límite del poder (Scribner, 2013).</w:t>
      </w:r>
    </w:p>
    <w:p w14:paraId="6C628225" w14:textId="77777777" w:rsidR="00A12E14" w:rsidRDefault="007D0123" w:rsidP="00FA33BE">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CAMBIO INSTITUCIONAL, MÉXICO Y CHILE EN LA DÉCADA DEL 2000.</w:t>
      </w:r>
    </w:p>
    <w:p w14:paraId="1A27ABCC" w14:textId="77777777" w:rsidR="00FA33BE" w:rsidRDefault="00FA33BE" w:rsidP="00FA33BE">
      <w:pPr>
        <w:spacing w:line="240" w:lineRule="auto"/>
        <w:ind w:left="720"/>
        <w:jc w:val="both"/>
        <w:rPr>
          <w:rFonts w:ascii="Times New Roman" w:hAnsi="Times New Roman" w:cs="Times New Roman"/>
          <w:sz w:val="20"/>
          <w:szCs w:val="20"/>
        </w:rPr>
      </w:pPr>
    </w:p>
    <w:p w14:paraId="7EF66961" w14:textId="77777777" w:rsidR="00FA33BE" w:rsidRDefault="00FA33BE" w:rsidP="00FA33BE">
      <w:pPr>
        <w:spacing w:line="240" w:lineRule="auto"/>
        <w:ind w:left="720"/>
        <w:jc w:val="both"/>
        <w:rPr>
          <w:rFonts w:ascii="Times New Roman" w:hAnsi="Times New Roman" w:cs="Times New Roman"/>
          <w:sz w:val="20"/>
          <w:szCs w:val="20"/>
        </w:rPr>
      </w:pPr>
    </w:p>
    <w:p w14:paraId="4E3597E3" w14:textId="77777777" w:rsidR="00FA33BE" w:rsidRDefault="00FA33BE" w:rsidP="00FA33BE">
      <w:pPr>
        <w:spacing w:line="240" w:lineRule="auto"/>
        <w:ind w:left="720"/>
        <w:jc w:val="both"/>
        <w:rPr>
          <w:rFonts w:ascii="Times New Roman" w:hAnsi="Times New Roman" w:cs="Times New Roman"/>
          <w:sz w:val="20"/>
          <w:szCs w:val="20"/>
        </w:rPr>
      </w:pPr>
    </w:p>
    <w:p w14:paraId="7910BDCC" w14:textId="77777777" w:rsidR="005B2AC6" w:rsidRPr="000C0C83" w:rsidRDefault="005B2AC6" w:rsidP="00FA33BE">
      <w:pPr>
        <w:spacing w:line="240" w:lineRule="auto"/>
        <w:ind w:left="720"/>
        <w:jc w:val="both"/>
        <w:rPr>
          <w:rFonts w:ascii="Times New Roman" w:hAnsi="Times New Roman" w:cs="Times New Roman"/>
          <w:sz w:val="20"/>
          <w:szCs w:val="20"/>
        </w:rPr>
      </w:pPr>
      <w:r w:rsidRPr="000C0C83">
        <w:rPr>
          <w:rFonts w:ascii="Times New Roman" w:hAnsi="Times New Roman" w:cs="Times New Roman"/>
          <w:sz w:val="20"/>
          <w:szCs w:val="20"/>
        </w:rPr>
        <w:t>Tabla 4. PRINCIPALES REFORMAS EN LA DÉCADA DEL 2000</w:t>
      </w:r>
    </w:p>
    <w:tbl>
      <w:tblPr>
        <w:tblStyle w:val="Tablaconcuadrcula"/>
        <w:tblW w:w="0" w:type="auto"/>
        <w:tblLook w:val="04A0" w:firstRow="1" w:lastRow="0" w:firstColumn="1" w:lastColumn="0" w:noHBand="0" w:noVBand="1"/>
      </w:tblPr>
      <w:tblGrid>
        <w:gridCol w:w="4414"/>
        <w:gridCol w:w="4414"/>
      </w:tblGrid>
      <w:tr w:rsidR="005B2AC6" w:rsidRPr="000C0C83" w14:paraId="6D785607" w14:textId="77777777" w:rsidTr="005229D8">
        <w:tc>
          <w:tcPr>
            <w:tcW w:w="4414" w:type="dxa"/>
          </w:tcPr>
          <w:p w14:paraId="124E2F40"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CHILE</w:t>
            </w:r>
          </w:p>
        </w:tc>
        <w:tc>
          <w:tcPr>
            <w:tcW w:w="4414" w:type="dxa"/>
          </w:tcPr>
          <w:p w14:paraId="5C7772B4"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MÉXICO</w:t>
            </w:r>
          </w:p>
        </w:tc>
      </w:tr>
      <w:tr w:rsidR="005B2AC6" w:rsidRPr="000C0C83" w14:paraId="55DD40B3" w14:textId="77777777" w:rsidTr="005229D8">
        <w:tc>
          <w:tcPr>
            <w:tcW w:w="4414" w:type="dxa"/>
          </w:tcPr>
          <w:p w14:paraId="3C89474D"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Se consolida la reforma procedimental penal promulgada en el 2000.</w:t>
            </w:r>
          </w:p>
          <w:p w14:paraId="79811914"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Buen desempeño en Estado de Derecho y com</w:t>
            </w:r>
            <w:r>
              <w:rPr>
                <w:rFonts w:ascii="Times New Roman" w:hAnsi="Times New Roman" w:cs="Times New Roman"/>
                <w:sz w:val="20"/>
                <w:szCs w:val="20"/>
              </w:rPr>
              <w:t>bate corrupción</w:t>
            </w:r>
            <w:r w:rsidRPr="000C0C83">
              <w:rPr>
                <w:rFonts w:ascii="Times New Roman" w:hAnsi="Times New Roman" w:cs="Times New Roman"/>
                <w:sz w:val="20"/>
                <w:szCs w:val="20"/>
              </w:rPr>
              <w:t>.</w:t>
            </w:r>
          </w:p>
          <w:p w14:paraId="68AC18BD"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Reforma electoral de</w:t>
            </w:r>
            <w:r>
              <w:rPr>
                <w:rFonts w:ascii="Times New Roman" w:hAnsi="Times New Roman" w:cs="Times New Roman"/>
                <w:sz w:val="20"/>
                <w:szCs w:val="20"/>
              </w:rPr>
              <w:t>l gobierno de</w:t>
            </w:r>
            <w:r w:rsidRPr="000C0C83">
              <w:rPr>
                <w:rFonts w:ascii="Times New Roman" w:hAnsi="Times New Roman" w:cs="Times New Roman"/>
                <w:sz w:val="20"/>
                <w:szCs w:val="20"/>
              </w:rPr>
              <w:t xml:space="preserve"> Lagos, pero sigue habiendo baja participación </w:t>
            </w:r>
            <w:r>
              <w:rPr>
                <w:rFonts w:ascii="Times New Roman" w:hAnsi="Times New Roman" w:cs="Times New Roman"/>
                <w:sz w:val="20"/>
                <w:szCs w:val="20"/>
              </w:rPr>
              <w:t xml:space="preserve">y baja calidad en la representación. </w:t>
            </w:r>
          </w:p>
        </w:tc>
        <w:tc>
          <w:tcPr>
            <w:tcW w:w="4414" w:type="dxa"/>
          </w:tcPr>
          <w:p w14:paraId="2D3DE9E5" w14:textId="77777777" w:rsidR="005B2AC6"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Reforma judicial</w:t>
            </w:r>
            <w:r>
              <w:rPr>
                <w:rFonts w:ascii="Times New Roman" w:hAnsi="Times New Roman" w:cs="Times New Roman"/>
                <w:sz w:val="20"/>
                <w:szCs w:val="20"/>
              </w:rPr>
              <w:t xml:space="preserve"> del 2008 implanta el sistema oral, aún sin implementar.</w:t>
            </w:r>
          </w:p>
          <w:p w14:paraId="3B42CADC" w14:textId="77777777" w:rsidR="005B2AC6" w:rsidRPr="000C0C83" w:rsidRDefault="005B2AC6" w:rsidP="00FA33BE">
            <w:pPr>
              <w:jc w:val="both"/>
              <w:rPr>
                <w:rFonts w:ascii="Times New Roman" w:hAnsi="Times New Roman" w:cs="Times New Roman"/>
                <w:sz w:val="20"/>
                <w:szCs w:val="20"/>
              </w:rPr>
            </w:pPr>
            <w:r>
              <w:rPr>
                <w:rFonts w:ascii="Times New Roman" w:hAnsi="Times New Roman" w:cs="Times New Roman"/>
                <w:sz w:val="20"/>
                <w:szCs w:val="20"/>
              </w:rPr>
              <w:t>Inicia fortalecimiento de Suprema Corte.</w:t>
            </w:r>
          </w:p>
          <w:p w14:paraId="0C6D3D81" w14:textId="77777777" w:rsidR="005B2AC6" w:rsidRPr="000C0C83" w:rsidRDefault="005B2AC6" w:rsidP="00FA33BE">
            <w:pPr>
              <w:jc w:val="both"/>
              <w:rPr>
                <w:rFonts w:ascii="Times New Roman" w:hAnsi="Times New Roman" w:cs="Times New Roman"/>
                <w:sz w:val="20"/>
                <w:szCs w:val="20"/>
              </w:rPr>
            </w:pPr>
            <w:r w:rsidRPr="000C0C83">
              <w:rPr>
                <w:rFonts w:ascii="Times New Roman" w:hAnsi="Times New Roman" w:cs="Times New Roman"/>
                <w:sz w:val="20"/>
                <w:szCs w:val="20"/>
              </w:rPr>
              <w:t>Reforma electoral</w:t>
            </w:r>
            <w:r>
              <w:rPr>
                <w:rFonts w:ascii="Times New Roman" w:hAnsi="Times New Roman" w:cs="Times New Roman"/>
                <w:sz w:val="20"/>
                <w:szCs w:val="20"/>
              </w:rPr>
              <w:t xml:space="preserve"> en el</w:t>
            </w:r>
            <w:r w:rsidRPr="000C0C83">
              <w:rPr>
                <w:rFonts w:ascii="Times New Roman" w:hAnsi="Times New Roman" w:cs="Times New Roman"/>
                <w:sz w:val="20"/>
                <w:szCs w:val="20"/>
              </w:rPr>
              <w:t xml:space="preserve"> 2006</w:t>
            </w:r>
            <w:r>
              <w:rPr>
                <w:rFonts w:ascii="Times New Roman" w:hAnsi="Times New Roman" w:cs="Times New Roman"/>
                <w:sz w:val="20"/>
                <w:szCs w:val="20"/>
              </w:rPr>
              <w:t xml:space="preserve">. </w:t>
            </w:r>
            <w:r w:rsidRPr="000C0C83">
              <w:rPr>
                <w:rFonts w:ascii="Times New Roman" w:hAnsi="Times New Roman" w:cs="Times New Roman"/>
                <w:sz w:val="20"/>
                <w:szCs w:val="20"/>
              </w:rPr>
              <w:t xml:space="preserve"> </w:t>
            </w:r>
          </w:p>
        </w:tc>
      </w:tr>
    </w:tbl>
    <w:p w14:paraId="2407EDC4" w14:textId="77777777" w:rsidR="005B2AC6" w:rsidRDefault="005B2AC6" w:rsidP="00FA33BE">
      <w:pPr>
        <w:spacing w:line="240" w:lineRule="auto"/>
        <w:jc w:val="both"/>
        <w:rPr>
          <w:rFonts w:ascii="Times New Roman" w:hAnsi="Times New Roman" w:cs="Times New Roman"/>
          <w:sz w:val="24"/>
          <w:szCs w:val="24"/>
        </w:rPr>
      </w:pPr>
    </w:p>
    <w:p w14:paraId="5F3950C4"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la década del 2000, el panorama mexicano no cambió de manera importante en materia judicial, aunque la reforma de la Suprema Corte realizada a mediados de los 90 empezó a mostrar resultados. Los nuevos poderes de este órgano, relacionados con la revisión de constitucionalidad, fueron ejercidos para interpretar materias relacionadas con derechos fundamentales como la libertad de expresión y religiosa, la equidad de género, la justicia criminal y los derechos de minorías, convirtiéndose en una arena privilegiada del debate político y social e incluso en una extensión de la arena de competencia política (Castillejos Aragón, 2013). Si durante los años del autoritarismo priista la Suprema Corte </w:t>
      </w:r>
      <w:r w:rsidR="00717B64">
        <w:rPr>
          <w:rFonts w:ascii="Times New Roman" w:hAnsi="Times New Roman" w:cs="Times New Roman"/>
          <w:sz w:val="24"/>
          <w:szCs w:val="24"/>
        </w:rPr>
        <w:t>había carecido</w:t>
      </w:r>
      <w:r>
        <w:rPr>
          <w:rFonts w:ascii="Times New Roman" w:hAnsi="Times New Roman" w:cs="Times New Roman"/>
          <w:sz w:val="24"/>
          <w:szCs w:val="24"/>
        </w:rPr>
        <w:t xml:space="preserve"> de relevancia y de capacidad para ejercer sus poderes relacionados con la protección de derechos fundamentales y con su rol formal de contrapeso al Ejecutivo (Domingo, 2004), esto cambió primero a raíz de la reforma de mediados de los 90, pero sobre todo cuando se produjo la alternancia presidencial en el año 2000 y el contexto de mayor pluralidad permitió a lo</w:t>
      </w:r>
      <w:r w:rsidR="00717B64">
        <w:rPr>
          <w:rFonts w:ascii="Times New Roman" w:hAnsi="Times New Roman" w:cs="Times New Roman"/>
          <w:sz w:val="24"/>
          <w:szCs w:val="24"/>
        </w:rPr>
        <w:t xml:space="preserve">s jueces ejercer </w:t>
      </w:r>
      <w:r>
        <w:rPr>
          <w:rFonts w:ascii="Times New Roman" w:hAnsi="Times New Roman" w:cs="Times New Roman"/>
          <w:sz w:val="24"/>
          <w:szCs w:val="24"/>
        </w:rPr>
        <w:t>sus poderes</w:t>
      </w:r>
      <w:r w:rsidR="00717B64">
        <w:rPr>
          <w:rFonts w:ascii="Times New Roman" w:hAnsi="Times New Roman" w:cs="Times New Roman"/>
          <w:sz w:val="24"/>
          <w:szCs w:val="24"/>
        </w:rPr>
        <w:t xml:space="preserve"> con mayor impacto</w:t>
      </w:r>
      <w:r>
        <w:rPr>
          <w:rFonts w:ascii="Times New Roman" w:hAnsi="Times New Roman" w:cs="Times New Roman"/>
          <w:sz w:val="24"/>
          <w:szCs w:val="24"/>
        </w:rPr>
        <w:t xml:space="preserve">. Sobre todo a partir del 2007, dicha instancia dirimió asuntos de derecho a la información y libertad de prensa que la convirtieron en una extensión del ámbito de la competencia política (Domingo, 2004). </w:t>
      </w:r>
    </w:p>
    <w:p w14:paraId="34DC63DE"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Más allá de las nuevas atribuciones de la Suprema Corte, q</w:t>
      </w:r>
      <w:r w:rsidR="00717B64">
        <w:rPr>
          <w:rFonts w:ascii="Times New Roman" w:hAnsi="Times New Roman" w:cs="Times New Roman"/>
          <w:sz w:val="24"/>
          <w:szCs w:val="24"/>
        </w:rPr>
        <w:t>ue empezaron a</w:t>
      </w:r>
      <w:r>
        <w:rPr>
          <w:rFonts w:ascii="Times New Roman" w:hAnsi="Times New Roman" w:cs="Times New Roman"/>
          <w:sz w:val="24"/>
          <w:szCs w:val="24"/>
        </w:rPr>
        <w:t xml:space="preserve"> ser ejercidas con </w:t>
      </w:r>
      <w:r w:rsidR="00717B64">
        <w:rPr>
          <w:rFonts w:ascii="Times New Roman" w:hAnsi="Times New Roman" w:cs="Times New Roman"/>
          <w:sz w:val="24"/>
          <w:szCs w:val="24"/>
        </w:rPr>
        <w:t xml:space="preserve">mayor </w:t>
      </w:r>
      <w:r>
        <w:rPr>
          <w:rFonts w:ascii="Times New Roman" w:hAnsi="Times New Roman" w:cs="Times New Roman"/>
          <w:sz w:val="24"/>
          <w:szCs w:val="24"/>
        </w:rPr>
        <w:t xml:space="preserve">plenitud, el sistema judicial mexicano no experimentó ningún cambio relevante durante la década del 2000. Una reforma semejante a la que Chile realizara diez años atrás, orientada hacia la justicia oral, empezó únicamente a mencionarse como una posibilidad en el Programa Nacional de Seguridad Pública del primer gobierno de alternancia (2000-2006). Ese planteamiento consideraba someter al Ministerio Público al poder judicial y promover la justicia civil inmediata, entre otros cambios. Sin embargo, la idea enfrentó de inmediato dificultades políticas para ser traducida en iniciativas de ley, sólo recibió la indiferencia por parte de legisladores y la clara oposición de la Procuraduría General de la República por la invasión de sus atribuciones que implicaba una reforma de tal naturaleza (Fix Fierro, 2004). Tuvo que llegar un segundo gobierno presidencial posterior a la transición para que se formalizara, en el 2008, una </w:t>
      </w:r>
      <w:r w:rsidRPr="00043766">
        <w:rPr>
          <w:rFonts w:ascii="Times New Roman" w:hAnsi="Times New Roman" w:cs="Times New Roman"/>
          <w:sz w:val="24"/>
          <w:szCs w:val="24"/>
        </w:rPr>
        <w:t>reforma judicial</w:t>
      </w:r>
      <w:r>
        <w:rPr>
          <w:rFonts w:ascii="Times New Roman" w:hAnsi="Times New Roman" w:cs="Times New Roman"/>
          <w:sz w:val="24"/>
          <w:szCs w:val="24"/>
        </w:rPr>
        <w:t xml:space="preserve"> que estableció el sistema de</w:t>
      </w:r>
      <w:r w:rsidRPr="00043766">
        <w:rPr>
          <w:rFonts w:ascii="Times New Roman" w:hAnsi="Times New Roman" w:cs="Times New Roman"/>
          <w:sz w:val="24"/>
          <w:szCs w:val="24"/>
        </w:rPr>
        <w:t xml:space="preserve"> juicios orales</w:t>
      </w:r>
      <w:r>
        <w:rPr>
          <w:rFonts w:ascii="Times New Roman" w:hAnsi="Times New Roman" w:cs="Times New Roman"/>
          <w:sz w:val="24"/>
          <w:szCs w:val="24"/>
        </w:rPr>
        <w:t xml:space="preserve"> y</w:t>
      </w:r>
      <w:r w:rsidRPr="00043766">
        <w:rPr>
          <w:rFonts w:ascii="Times New Roman" w:hAnsi="Times New Roman" w:cs="Times New Roman"/>
          <w:sz w:val="24"/>
          <w:szCs w:val="24"/>
        </w:rPr>
        <w:t xml:space="preserve"> mecanismos alternativos de solución de controversias en la justicia penal,</w:t>
      </w:r>
      <w:r>
        <w:rPr>
          <w:rFonts w:ascii="Times New Roman" w:hAnsi="Times New Roman" w:cs="Times New Roman"/>
          <w:sz w:val="24"/>
          <w:szCs w:val="24"/>
        </w:rPr>
        <w:t xml:space="preserve"> sin embargo ésta no </w:t>
      </w:r>
      <w:r w:rsidRPr="00043766">
        <w:rPr>
          <w:rFonts w:ascii="Times New Roman" w:hAnsi="Times New Roman" w:cs="Times New Roman"/>
          <w:sz w:val="24"/>
          <w:szCs w:val="24"/>
        </w:rPr>
        <w:t>ha tenido</w:t>
      </w:r>
      <w:r>
        <w:rPr>
          <w:rFonts w:ascii="Times New Roman" w:hAnsi="Times New Roman" w:cs="Times New Roman"/>
          <w:sz w:val="24"/>
          <w:szCs w:val="24"/>
        </w:rPr>
        <w:t xml:space="preserve"> aún</w:t>
      </w:r>
      <w:r w:rsidRPr="00043766">
        <w:rPr>
          <w:rFonts w:ascii="Times New Roman" w:hAnsi="Times New Roman" w:cs="Times New Roman"/>
          <w:sz w:val="24"/>
          <w:szCs w:val="24"/>
        </w:rPr>
        <w:t xml:space="preserve"> efectos,</w:t>
      </w:r>
      <w:r>
        <w:rPr>
          <w:rFonts w:ascii="Times New Roman" w:hAnsi="Times New Roman" w:cs="Times New Roman"/>
          <w:sz w:val="24"/>
          <w:szCs w:val="24"/>
        </w:rPr>
        <w:t xml:space="preserve"> pues se </w:t>
      </w:r>
      <w:r w:rsidRPr="00043766">
        <w:rPr>
          <w:rFonts w:ascii="Times New Roman" w:hAnsi="Times New Roman" w:cs="Times New Roman"/>
          <w:sz w:val="24"/>
          <w:szCs w:val="24"/>
        </w:rPr>
        <w:t>encuentra en la etapa de adaptación</w:t>
      </w:r>
      <w:r>
        <w:rPr>
          <w:rFonts w:ascii="Times New Roman" w:hAnsi="Times New Roman" w:cs="Times New Roman"/>
          <w:sz w:val="24"/>
          <w:szCs w:val="24"/>
        </w:rPr>
        <w:t xml:space="preserve"> del sistema judicial,</w:t>
      </w:r>
      <w:r w:rsidRPr="00043766">
        <w:rPr>
          <w:rFonts w:ascii="Times New Roman" w:hAnsi="Times New Roman" w:cs="Times New Roman"/>
          <w:sz w:val="24"/>
          <w:szCs w:val="24"/>
        </w:rPr>
        <w:t xml:space="preserve"> dada la complejidad de los cambios que involucra, como la capacitación de personal e incluso l</w:t>
      </w:r>
      <w:r>
        <w:rPr>
          <w:rFonts w:ascii="Times New Roman" w:hAnsi="Times New Roman" w:cs="Times New Roman"/>
          <w:sz w:val="24"/>
          <w:szCs w:val="24"/>
        </w:rPr>
        <w:t>a modificación de las estructuras curriculares</w:t>
      </w:r>
      <w:r w:rsidRPr="00043766">
        <w:rPr>
          <w:rFonts w:ascii="Times New Roman" w:hAnsi="Times New Roman" w:cs="Times New Roman"/>
          <w:sz w:val="24"/>
          <w:szCs w:val="24"/>
        </w:rPr>
        <w:t xml:space="preserve"> de los </w:t>
      </w:r>
      <w:r w:rsidRPr="00043766">
        <w:rPr>
          <w:rFonts w:ascii="Times New Roman" w:hAnsi="Times New Roman" w:cs="Times New Roman"/>
          <w:sz w:val="24"/>
          <w:szCs w:val="24"/>
        </w:rPr>
        <w:lastRenderedPageBreak/>
        <w:t>programas docentes de derecho</w:t>
      </w:r>
      <w:r w:rsidR="00717B64">
        <w:rPr>
          <w:rFonts w:ascii="Times New Roman" w:hAnsi="Times New Roman" w:cs="Times New Roman"/>
          <w:sz w:val="24"/>
          <w:szCs w:val="24"/>
        </w:rPr>
        <w:t>. De esta</w:t>
      </w:r>
      <w:r>
        <w:rPr>
          <w:rFonts w:ascii="Times New Roman" w:hAnsi="Times New Roman" w:cs="Times New Roman"/>
          <w:sz w:val="24"/>
          <w:szCs w:val="24"/>
        </w:rPr>
        <w:t xml:space="preserve"> forma, sus posibles beneficios en la elevación de la calidad del sistema judicial y con ello su impacto en el Estado de derecho todavía no pueden ser percibidos, pues el plazo que se estableció para su implementación es de 8 años a partir de su promulgación. </w:t>
      </w:r>
      <w:r w:rsidRPr="00043766">
        <w:rPr>
          <w:rFonts w:ascii="Times New Roman" w:hAnsi="Times New Roman" w:cs="Times New Roman"/>
          <w:sz w:val="24"/>
          <w:szCs w:val="24"/>
        </w:rPr>
        <w:t xml:space="preserve"> </w:t>
      </w:r>
    </w:p>
    <w:p w14:paraId="05F00E60" w14:textId="77777777" w:rsidR="005B2AC6" w:rsidRDefault="005B2AC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Mientras las reformas en materia judicial debieron esperar, la cadena de </w:t>
      </w:r>
      <w:r w:rsidRPr="00043766">
        <w:rPr>
          <w:rFonts w:ascii="Times New Roman" w:hAnsi="Times New Roman" w:cs="Times New Roman"/>
          <w:sz w:val="24"/>
          <w:szCs w:val="24"/>
        </w:rPr>
        <w:t>reforma</w:t>
      </w:r>
      <w:r>
        <w:rPr>
          <w:rFonts w:ascii="Times New Roman" w:hAnsi="Times New Roman" w:cs="Times New Roman"/>
          <w:sz w:val="24"/>
          <w:szCs w:val="24"/>
        </w:rPr>
        <w:t>s</w:t>
      </w:r>
      <w:r w:rsidRPr="00043766">
        <w:rPr>
          <w:rFonts w:ascii="Times New Roman" w:hAnsi="Times New Roman" w:cs="Times New Roman"/>
          <w:sz w:val="24"/>
          <w:szCs w:val="24"/>
        </w:rPr>
        <w:t xml:space="preserve"> electoral</w:t>
      </w:r>
      <w:r>
        <w:rPr>
          <w:rFonts w:ascii="Times New Roman" w:hAnsi="Times New Roman" w:cs="Times New Roman"/>
          <w:sz w:val="24"/>
          <w:szCs w:val="24"/>
        </w:rPr>
        <w:t>es iniciada en el 90 continuó con una nueva reforma para responder a las inconformidades derivadas de la elección</w:t>
      </w:r>
      <w:r w:rsidRPr="00043766">
        <w:rPr>
          <w:rFonts w:ascii="Times New Roman" w:hAnsi="Times New Roman" w:cs="Times New Roman"/>
          <w:sz w:val="24"/>
          <w:szCs w:val="24"/>
        </w:rPr>
        <w:t xml:space="preserve"> presidencial del 2006</w:t>
      </w:r>
      <w:r>
        <w:rPr>
          <w:rFonts w:ascii="Times New Roman" w:hAnsi="Times New Roman" w:cs="Times New Roman"/>
          <w:sz w:val="24"/>
          <w:szCs w:val="24"/>
        </w:rPr>
        <w:t xml:space="preserve">. La reforma electoral aprobada en el 2007 se centró de manera importante en temas relacionados con las campañas electorales, con el fin de regular algunas de las cuestiones que resultaron particularmente conflictivas en el proceso electoral mencionado. Así, entre los cambios introducidos por esa reforma destaca la prohibición absoluta de  compra y contratación de tiempos de radio y televisión para su uso en las campañas, restringiendo el acceso a estos medios a los tiempos oficialmente asignados para cada partido. Asimismo, para prevenir lo </w:t>
      </w:r>
      <w:r w:rsidR="00717B64">
        <w:rPr>
          <w:rFonts w:ascii="Times New Roman" w:hAnsi="Times New Roman" w:cs="Times New Roman"/>
          <w:sz w:val="24"/>
          <w:szCs w:val="24"/>
        </w:rPr>
        <w:t>que se llamó una “guerra sucia”</w:t>
      </w:r>
      <w:r>
        <w:rPr>
          <w:rFonts w:ascii="Times New Roman" w:hAnsi="Times New Roman" w:cs="Times New Roman"/>
          <w:sz w:val="24"/>
          <w:szCs w:val="24"/>
        </w:rPr>
        <w:t xml:space="preserve">, se </w:t>
      </w:r>
      <w:r w:rsidR="00717B64">
        <w:rPr>
          <w:rFonts w:ascii="Times New Roman" w:hAnsi="Times New Roman" w:cs="Times New Roman"/>
          <w:sz w:val="24"/>
          <w:szCs w:val="24"/>
        </w:rPr>
        <w:t>estableció la prohibición del uso de expresiones “ca</w:t>
      </w:r>
      <w:r>
        <w:rPr>
          <w:rFonts w:ascii="Times New Roman" w:hAnsi="Times New Roman" w:cs="Times New Roman"/>
          <w:sz w:val="24"/>
          <w:szCs w:val="24"/>
        </w:rPr>
        <w:t xml:space="preserve">lumniosas” </w:t>
      </w:r>
      <w:r w:rsidR="00717B64">
        <w:rPr>
          <w:rFonts w:ascii="Times New Roman" w:hAnsi="Times New Roman" w:cs="Times New Roman"/>
          <w:sz w:val="24"/>
          <w:szCs w:val="24"/>
        </w:rPr>
        <w:t xml:space="preserve">y “denigrantes” </w:t>
      </w:r>
      <w:r>
        <w:rPr>
          <w:rFonts w:ascii="Times New Roman" w:hAnsi="Times New Roman" w:cs="Times New Roman"/>
          <w:sz w:val="24"/>
          <w:szCs w:val="24"/>
        </w:rPr>
        <w:t>contra instituciones, partidos o personas, y se otorgó al IFE la atribución de retirar la propaganda y ordenar la suspensión de mensajes que incurrieran en esta falta. Para que este órgano pudiera cumplir con estas nuevas funciones, se creó el Comité de Radio y Televisión, encargado entre otras cosas de revisar y autorizar las propuestas de pautas de</w:t>
      </w:r>
      <w:r w:rsidR="00717B64">
        <w:rPr>
          <w:rFonts w:ascii="Times New Roman" w:hAnsi="Times New Roman" w:cs="Times New Roman"/>
          <w:sz w:val="24"/>
          <w:szCs w:val="24"/>
        </w:rPr>
        <w:t xml:space="preserve"> transmisión de me</w:t>
      </w:r>
      <w:r>
        <w:rPr>
          <w:rFonts w:ascii="Times New Roman" w:hAnsi="Times New Roman" w:cs="Times New Roman"/>
          <w:sz w:val="24"/>
          <w:szCs w:val="24"/>
        </w:rPr>
        <w:t>nsajes y propaganda de todos los partidos. Otro ángulo por el cual fueron reguladas las campañas fue el financiero. Se establecieron obligaciones de transparencia para los partidos políticos, que habían quedado fuera de esta materia pese a la existencia de normas de transparenci</w:t>
      </w:r>
      <w:r w:rsidR="00717B64">
        <w:rPr>
          <w:rFonts w:ascii="Times New Roman" w:hAnsi="Times New Roman" w:cs="Times New Roman"/>
          <w:sz w:val="24"/>
          <w:szCs w:val="24"/>
        </w:rPr>
        <w:t>a pública</w:t>
      </w:r>
      <w:r>
        <w:rPr>
          <w:rFonts w:ascii="Times New Roman" w:hAnsi="Times New Roman" w:cs="Times New Roman"/>
          <w:sz w:val="24"/>
          <w:szCs w:val="24"/>
        </w:rPr>
        <w:t xml:space="preserve">, se anuló el secreto bancario y fiscal para partidos y para el propio órgano electoral federal y se estableció, por primera vez, un tope al gasto en precampañas, que correspondió al 20% del gasto de campaña autorizado para la elección anterior en el mismo cargo.   </w:t>
      </w:r>
      <w:r w:rsidRPr="00043766">
        <w:rPr>
          <w:rFonts w:ascii="Times New Roman" w:hAnsi="Times New Roman" w:cs="Times New Roman"/>
          <w:sz w:val="24"/>
          <w:szCs w:val="24"/>
        </w:rPr>
        <w:t xml:space="preserve">    </w:t>
      </w:r>
    </w:p>
    <w:p w14:paraId="65641A5E" w14:textId="77777777" w:rsidR="00A81986" w:rsidRDefault="008925C5"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la década del 2000 Chile vio la consolidación de las reformas judiciales </w:t>
      </w:r>
      <w:r w:rsidR="00253BAA">
        <w:rPr>
          <w:rFonts w:ascii="Times New Roman" w:hAnsi="Times New Roman" w:cs="Times New Roman"/>
          <w:sz w:val="24"/>
          <w:szCs w:val="24"/>
        </w:rPr>
        <w:t xml:space="preserve">iniciadas a principios del periodo. </w:t>
      </w:r>
      <w:r w:rsidR="00B74854">
        <w:rPr>
          <w:rFonts w:ascii="Times New Roman" w:hAnsi="Times New Roman" w:cs="Times New Roman"/>
          <w:sz w:val="24"/>
          <w:szCs w:val="24"/>
        </w:rPr>
        <w:t>La reforma procedimental penal</w:t>
      </w:r>
      <w:r w:rsidR="00253BAA">
        <w:rPr>
          <w:rFonts w:ascii="Times New Roman" w:hAnsi="Times New Roman" w:cs="Times New Roman"/>
          <w:sz w:val="24"/>
          <w:szCs w:val="24"/>
        </w:rPr>
        <w:t xml:space="preserve"> chilena del año 2000</w:t>
      </w:r>
      <w:r w:rsidR="000C0C83">
        <w:rPr>
          <w:rFonts w:ascii="Times New Roman" w:hAnsi="Times New Roman" w:cs="Times New Roman"/>
          <w:sz w:val="24"/>
          <w:szCs w:val="24"/>
        </w:rPr>
        <w:t xml:space="preserve"> mostró</w:t>
      </w:r>
      <w:r w:rsidR="00B74854">
        <w:rPr>
          <w:rFonts w:ascii="Times New Roman" w:hAnsi="Times New Roman" w:cs="Times New Roman"/>
          <w:sz w:val="24"/>
          <w:szCs w:val="24"/>
        </w:rPr>
        <w:t xml:space="preserve"> éxito desde</w:t>
      </w:r>
      <w:r w:rsidR="000C0C83">
        <w:rPr>
          <w:rFonts w:ascii="Times New Roman" w:hAnsi="Times New Roman" w:cs="Times New Roman"/>
          <w:sz w:val="24"/>
          <w:szCs w:val="24"/>
        </w:rPr>
        <w:t xml:space="preserve"> su inicio (Duce, 2004). Su</w:t>
      </w:r>
      <w:r w:rsidR="00B74854">
        <w:rPr>
          <w:rFonts w:ascii="Times New Roman" w:hAnsi="Times New Roman" w:cs="Times New Roman"/>
          <w:sz w:val="24"/>
          <w:szCs w:val="24"/>
        </w:rPr>
        <w:t xml:space="preserve"> implementa</w:t>
      </w:r>
      <w:r w:rsidR="000C0C83">
        <w:rPr>
          <w:rFonts w:ascii="Times New Roman" w:hAnsi="Times New Roman" w:cs="Times New Roman"/>
          <w:sz w:val="24"/>
          <w:szCs w:val="24"/>
        </w:rPr>
        <w:t>ción empezó</w:t>
      </w:r>
      <w:r w:rsidR="00B74854">
        <w:rPr>
          <w:rFonts w:ascii="Times New Roman" w:hAnsi="Times New Roman" w:cs="Times New Roman"/>
          <w:sz w:val="24"/>
          <w:szCs w:val="24"/>
        </w:rPr>
        <w:t xml:space="preserve"> gradualmente</w:t>
      </w:r>
      <w:r w:rsidR="000C0C83">
        <w:rPr>
          <w:rFonts w:ascii="Times New Roman" w:hAnsi="Times New Roman" w:cs="Times New Roman"/>
          <w:sz w:val="24"/>
          <w:szCs w:val="24"/>
        </w:rPr>
        <w:t xml:space="preserve"> en las</w:t>
      </w:r>
      <w:r w:rsidR="00253BAA">
        <w:rPr>
          <w:rFonts w:ascii="Times New Roman" w:hAnsi="Times New Roman" w:cs="Times New Roman"/>
          <w:sz w:val="24"/>
          <w:szCs w:val="24"/>
        </w:rPr>
        <w:t xml:space="preserve"> regiones, desde su promulgación</w:t>
      </w:r>
      <w:r w:rsidR="000C0C83">
        <w:rPr>
          <w:rFonts w:ascii="Times New Roman" w:hAnsi="Times New Roman" w:cs="Times New Roman"/>
          <w:sz w:val="24"/>
          <w:szCs w:val="24"/>
        </w:rPr>
        <w:t>, y terminó</w:t>
      </w:r>
      <w:r w:rsidR="00B74854">
        <w:rPr>
          <w:rFonts w:ascii="Times New Roman" w:hAnsi="Times New Roman" w:cs="Times New Roman"/>
          <w:sz w:val="24"/>
          <w:szCs w:val="24"/>
        </w:rPr>
        <w:t xml:space="preserve"> de</w:t>
      </w:r>
      <w:r w:rsidR="000C0C83">
        <w:rPr>
          <w:rFonts w:ascii="Times New Roman" w:hAnsi="Times New Roman" w:cs="Times New Roman"/>
          <w:sz w:val="24"/>
          <w:szCs w:val="24"/>
        </w:rPr>
        <w:t xml:space="preserve"> aplicarse</w:t>
      </w:r>
      <w:r w:rsidR="00B74854">
        <w:rPr>
          <w:rFonts w:ascii="Times New Roman" w:hAnsi="Times New Roman" w:cs="Times New Roman"/>
          <w:sz w:val="24"/>
          <w:szCs w:val="24"/>
        </w:rPr>
        <w:t xml:space="preserve"> en el 2005 en la zona metropolitana. A dos años de su arranque</w:t>
      </w:r>
      <w:r w:rsidR="00A81986">
        <w:rPr>
          <w:rFonts w:ascii="Times New Roman" w:hAnsi="Times New Roman" w:cs="Times New Roman"/>
          <w:sz w:val="24"/>
          <w:szCs w:val="24"/>
        </w:rPr>
        <w:t>,</w:t>
      </w:r>
      <w:r w:rsidR="00B74854">
        <w:rPr>
          <w:rFonts w:ascii="Times New Roman" w:hAnsi="Times New Roman" w:cs="Times New Roman"/>
          <w:sz w:val="24"/>
          <w:szCs w:val="24"/>
        </w:rPr>
        <w:t xml:space="preserve"> ya mostraba ser un sistema mucho más productivo y eficaz que el anterior, a juzgar por los siguientes indicadores: el 87.3% de los casos ingresados estaban concluidos, el promedio de duración de los procesos disminuyó a un tercio del sistema antiguo, la prisión preventiva se usaba con</w:t>
      </w:r>
      <w:r w:rsidR="00A81986">
        <w:rPr>
          <w:rFonts w:ascii="Times New Roman" w:hAnsi="Times New Roman" w:cs="Times New Roman"/>
          <w:sz w:val="24"/>
          <w:szCs w:val="24"/>
        </w:rPr>
        <w:t xml:space="preserve"> mayor</w:t>
      </w:r>
      <w:r w:rsidR="00B74854">
        <w:rPr>
          <w:rFonts w:ascii="Times New Roman" w:hAnsi="Times New Roman" w:cs="Times New Roman"/>
          <w:sz w:val="24"/>
          <w:szCs w:val="24"/>
        </w:rPr>
        <w:t xml:space="preserve"> racionalidad, 20% menos que antes, y en general mostraba estándares de funcionamiento cercanos al óptimo establecido en su diseño y justificación (Duce, 2004).</w:t>
      </w:r>
      <w:r w:rsidR="00A81986" w:rsidRPr="00A81986">
        <w:rPr>
          <w:rFonts w:ascii="Times New Roman" w:hAnsi="Times New Roman" w:cs="Times New Roman"/>
          <w:sz w:val="24"/>
          <w:szCs w:val="24"/>
        </w:rPr>
        <w:t xml:space="preserve"> </w:t>
      </w:r>
    </w:p>
    <w:p w14:paraId="4C546968" w14:textId="77777777" w:rsidR="00701A5B" w:rsidRDefault="002341B6"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Adicionalmente a los cambios en el sistema penal, en esa década se hizo una reforma importante que fortaleció al Tribunal Constitucional. Esa reforma, impulsada por el gobierno de </w:t>
      </w:r>
      <w:r w:rsidR="00701A5B">
        <w:rPr>
          <w:rFonts w:ascii="Times New Roman" w:hAnsi="Times New Roman" w:cs="Times New Roman"/>
          <w:sz w:val="24"/>
          <w:szCs w:val="24"/>
        </w:rPr>
        <w:t>Lagos</w:t>
      </w:r>
      <w:r>
        <w:rPr>
          <w:rFonts w:ascii="Times New Roman" w:hAnsi="Times New Roman" w:cs="Times New Roman"/>
          <w:sz w:val="24"/>
          <w:szCs w:val="24"/>
        </w:rPr>
        <w:t>,</w:t>
      </w:r>
      <w:r w:rsidR="00701A5B">
        <w:rPr>
          <w:rFonts w:ascii="Times New Roman" w:hAnsi="Times New Roman" w:cs="Times New Roman"/>
          <w:sz w:val="24"/>
          <w:szCs w:val="24"/>
        </w:rPr>
        <w:t xml:space="preserve"> modificó la forma de nombrar a los integrantes</w:t>
      </w:r>
      <w:r>
        <w:rPr>
          <w:rFonts w:ascii="Times New Roman" w:hAnsi="Times New Roman" w:cs="Times New Roman"/>
          <w:sz w:val="24"/>
          <w:szCs w:val="24"/>
        </w:rPr>
        <w:t xml:space="preserve">, que crecieron a </w:t>
      </w:r>
      <w:r w:rsidR="00701A5B">
        <w:rPr>
          <w:rFonts w:ascii="Times New Roman" w:hAnsi="Times New Roman" w:cs="Times New Roman"/>
          <w:sz w:val="24"/>
          <w:szCs w:val="24"/>
        </w:rPr>
        <w:t>diez</w:t>
      </w:r>
      <w:r w:rsidR="00253BAA">
        <w:rPr>
          <w:rFonts w:ascii="Times New Roman" w:hAnsi="Times New Roman" w:cs="Times New Roman"/>
          <w:sz w:val="24"/>
          <w:szCs w:val="24"/>
        </w:rPr>
        <w:t>,</w:t>
      </w:r>
      <w:r w:rsidR="00701A5B">
        <w:rPr>
          <w:rFonts w:ascii="Times New Roman" w:hAnsi="Times New Roman" w:cs="Times New Roman"/>
          <w:sz w:val="24"/>
          <w:szCs w:val="24"/>
        </w:rPr>
        <w:t xml:space="preserve"> y</w:t>
      </w:r>
      <w:r>
        <w:rPr>
          <w:rFonts w:ascii="Times New Roman" w:hAnsi="Times New Roman" w:cs="Times New Roman"/>
          <w:sz w:val="24"/>
          <w:szCs w:val="24"/>
        </w:rPr>
        <w:t xml:space="preserve"> amplió las</w:t>
      </w:r>
      <w:r w:rsidR="00701A5B">
        <w:rPr>
          <w:rFonts w:ascii="Times New Roman" w:hAnsi="Times New Roman" w:cs="Times New Roman"/>
          <w:sz w:val="24"/>
          <w:szCs w:val="24"/>
        </w:rPr>
        <w:t xml:space="preserve"> facultades</w:t>
      </w:r>
      <w:r>
        <w:rPr>
          <w:rFonts w:ascii="Times New Roman" w:hAnsi="Times New Roman" w:cs="Times New Roman"/>
          <w:sz w:val="24"/>
          <w:szCs w:val="24"/>
        </w:rPr>
        <w:t xml:space="preserve"> del Tribunal,</w:t>
      </w:r>
      <w:r w:rsidR="00701A5B">
        <w:rPr>
          <w:rFonts w:ascii="Times New Roman" w:hAnsi="Times New Roman" w:cs="Times New Roman"/>
          <w:sz w:val="24"/>
          <w:szCs w:val="24"/>
        </w:rPr>
        <w:t xml:space="preserve"> dándole mayor peso que a la Suprema Corte, más conservadora. Particularmente, se concentró en el Tribuna</w:t>
      </w:r>
      <w:r w:rsidR="00717B64">
        <w:rPr>
          <w:rFonts w:ascii="Times New Roman" w:hAnsi="Times New Roman" w:cs="Times New Roman"/>
          <w:sz w:val="24"/>
          <w:szCs w:val="24"/>
        </w:rPr>
        <w:t>l todo lo relacionado</w:t>
      </w:r>
      <w:r>
        <w:rPr>
          <w:rFonts w:ascii="Times New Roman" w:hAnsi="Times New Roman" w:cs="Times New Roman"/>
          <w:sz w:val="24"/>
          <w:szCs w:val="24"/>
        </w:rPr>
        <w:t xml:space="preserve"> con la </w:t>
      </w:r>
      <w:r w:rsidR="00701A5B">
        <w:rPr>
          <w:rFonts w:ascii="Times New Roman" w:hAnsi="Times New Roman" w:cs="Times New Roman"/>
          <w:sz w:val="24"/>
          <w:szCs w:val="24"/>
        </w:rPr>
        <w:t xml:space="preserve">revisión constitucional, quitando a la Suprema Corte </w:t>
      </w:r>
      <w:r>
        <w:rPr>
          <w:rFonts w:ascii="Times New Roman" w:hAnsi="Times New Roman" w:cs="Times New Roman"/>
          <w:sz w:val="24"/>
          <w:szCs w:val="24"/>
        </w:rPr>
        <w:t xml:space="preserve">las atribuciones que le restaban en la materia </w:t>
      </w:r>
      <w:r w:rsidR="00701A5B">
        <w:rPr>
          <w:rFonts w:ascii="Times New Roman" w:hAnsi="Times New Roman" w:cs="Times New Roman"/>
          <w:sz w:val="24"/>
          <w:szCs w:val="24"/>
        </w:rPr>
        <w:t>y se ampliaron los temas de</w:t>
      </w:r>
      <w:r w:rsidR="00717B64">
        <w:rPr>
          <w:rFonts w:ascii="Times New Roman" w:hAnsi="Times New Roman" w:cs="Times New Roman"/>
          <w:sz w:val="24"/>
          <w:szCs w:val="24"/>
        </w:rPr>
        <w:t xml:space="preserve"> posible revisión</w:t>
      </w:r>
      <w:r w:rsidR="00701A5B">
        <w:rPr>
          <w:rFonts w:ascii="Times New Roman" w:hAnsi="Times New Roman" w:cs="Times New Roman"/>
          <w:sz w:val="24"/>
          <w:szCs w:val="24"/>
        </w:rPr>
        <w:t xml:space="preserve"> (Scribner, </w:t>
      </w:r>
      <w:r w:rsidR="00701A5B" w:rsidRPr="006B5E76">
        <w:rPr>
          <w:rFonts w:ascii="Times New Roman" w:hAnsi="Times New Roman" w:cs="Times New Roman"/>
          <w:sz w:val="24"/>
          <w:szCs w:val="24"/>
        </w:rPr>
        <w:t>2013</w:t>
      </w:r>
      <w:r w:rsidR="00701A5B">
        <w:rPr>
          <w:rFonts w:ascii="Times New Roman" w:hAnsi="Times New Roman" w:cs="Times New Roman"/>
          <w:sz w:val="24"/>
          <w:szCs w:val="24"/>
        </w:rPr>
        <w:t>). El fortalecimiento del TC se favoreció también de un cambio en el discurso y en la cultura judicial en Chile</w:t>
      </w:r>
      <w:r>
        <w:rPr>
          <w:rFonts w:ascii="Times New Roman" w:hAnsi="Times New Roman" w:cs="Times New Roman"/>
          <w:sz w:val="24"/>
          <w:szCs w:val="24"/>
        </w:rPr>
        <w:t>,</w:t>
      </w:r>
      <w:r w:rsidR="00701A5B">
        <w:rPr>
          <w:rFonts w:ascii="Times New Roman" w:hAnsi="Times New Roman" w:cs="Times New Roman"/>
          <w:sz w:val="24"/>
          <w:szCs w:val="24"/>
        </w:rPr>
        <w:t xml:space="preserve"> donde se giró hacia un modelo centrado en el derecho natural y los derechos humanos, contrario al anterior dominio del criterio del derecho positivo (Scribner, 2013).</w:t>
      </w:r>
    </w:p>
    <w:p w14:paraId="5D5C8BC7" w14:textId="77777777" w:rsidR="00A81986" w:rsidRPr="00043766" w:rsidRDefault="00412A94"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Durante esa década, sobre todo en la segunda mitad, los beneficios de las </w:t>
      </w:r>
      <w:r w:rsidR="00253BAA">
        <w:rPr>
          <w:rFonts w:ascii="Times New Roman" w:hAnsi="Times New Roman" w:cs="Times New Roman"/>
          <w:sz w:val="24"/>
          <w:szCs w:val="24"/>
        </w:rPr>
        <w:t>reformas judiciales previas se hicieron</w:t>
      </w:r>
      <w:r>
        <w:rPr>
          <w:rFonts w:ascii="Times New Roman" w:hAnsi="Times New Roman" w:cs="Times New Roman"/>
          <w:sz w:val="24"/>
          <w:szCs w:val="24"/>
        </w:rPr>
        <w:t xml:space="preserve"> visibles en la calidad aceptable de la </w:t>
      </w:r>
      <w:r w:rsidR="00A81986">
        <w:rPr>
          <w:rFonts w:ascii="Times New Roman" w:hAnsi="Times New Roman" w:cs="Times New Roman"/>
          <w:sz w:val="24"/>
          <w:szCs w:val="24"/>
        </w:rPr>
        <w:t>rendición de cuentas</w:t>
      </w:r>
      <w:r>
        <w:rPr>
          <w:rFonts w:ascii="Times New Roman" w:hAnsi="Times New Roman" w:cs="Times New Roman"/>
          <w:sz w:val="24"/>
          <w:szCs w:val="24"/>
        </w:rPr>
        <w:t>,</w:t>
      </w:r>
      <w:r w:rsidR="00A81986">
        <w:rPr>
          <w:rFonts w:ascii="Times New Roman" w:hAnsi="Times New Roman" w:cs="Times New Roman"/>
          <w:sz w:val="24"/>
          <w:szCs w:val="24"/>
        </w:rPr>
        <w:t xml:space="preserve"> el combate a la corrupción</w:t>
      </w:r>
      <w:r>
        <w:rPr>
          <w:rFonts w:ascii="Times New Roman" w:hAnsi="Times New Roman" w:cs="Times New Roman"/>
          <w:sz w:val="24"/>
          <w:szCs w:val="24"/>
        </w:rPr>
        <w:t xml:space="preserve"> y el Estado de derecho en general</w:t>
      </w:r>
      <w:r w:rsidR="00A81986">
        <w:rPr>
          <w:rFonts w:ascii="Times New Roman" w:hAnsi="Times New Roman" w:cs="Times New Roman"/>
          <w:sz w:val="24"/>
          <w:szCs w:val="24"/>
        </w:rPr>
        <w:t xml:space="preserve"> </w:t>
      </w:r>
      <w:r>
        <w:rPr>
          <w:rFonts w:ascii="Times New Roman" w:hAnsi="Times New Roman" w:cs="Times New Roman"/>
          <w:sz w:val="24"/>
          <w:szCs w:val="24"/>
        </w:rPr>
        <w:t>(Ruiz, 2011, Hagopian, 2005)</w:t>
      </w:r>
      <w:r w:rsidR="00A81986">
        <w:rPr>
          <w:rFonts w:ascii="Times New Roman" w:hAnsi="Times New Roman" w:cs="Times New Roman"/>
          <w:sz w:val="24"/>
          <w:szCs w:val="24"/>
        </w:rPr>
        <w:t>.</w:t>
      </w:r>
      <w:r>
        <w:rPr>
          <w:rFonts w:ascii="Times New Roman" w:hAnsi="Times New Roman" w:cs="Times New Roman"/>
          <w:sz w:val="24"/>
          <w:szCs w:val="24"/>
        </w:rPr>
        <w:t xml:space="preserve"> Sin embargo, no se puede afirmar lo mismo en relación con la calidad</w:t>
      </w:r>
      <w:r w:rsidR="00A81986" w:rsidRPr="00043766">
        <w:rPr>
          <w:rFonts w:ascii="Times New Roman" w:hAnsi="Times New Roman" w:cs="Times New Roman"/>
          <w:sz w:val="24"/>
          <w:szCs w:val="24"/>
        </w:rPr>
        <w:t xml:space="preserve"> </w:t>
      </w:r>
      <w:r>
        <w:rPr>
          <w:rFonts w:ascii="Times New Roman" w:hAnsi="Times New Roman" w:cs="Times New Roman"/>
          <w:sz w:val="24"/>
          <w:szCs w:val="24"/>
        </w:rPr>
        <w:t>de la</w:t>
      </w:r>
      <w:r w:rsidR="00A81986" w:rsidRPr="00043766">
        <w:rPr>
          <w:rFonts w:ascii="Times New Roman" w:hAnsi="Times New Roman" w:cs="Times New Roman"/>
          <w:sz w:val="24"/>
          <w:szCs w:val="24"/>
        </w:rPr>
        <w:t xml:space="preserve"> representación y</w:t>
      </w:r>
      <w:r>
        <w:rPr>
          <w:rFonts w:ascii="Times New Roman" w:hAnsi="Times New Roman" w:cs="Times New Roman"/>
          <w:sz w:val="24"/>
          <w:szCs w:val="24"/>
        </w:rPr>
        <w:t xml:space="preserve"> la</w:t>
      </w:r>
      <w:r w:rsidR="00A81986" w:rsidRPr="00043766">
        <w:rPr>
          <w:rFonts w:ascii="Times New Roman" w:hAnsi="Times New Roman" w:cs="Times New Roman"/>
          <w:sz w:val="24"/>
          <w:szCs w:val="24"/>
        </w:rPr>
        <w:t xml:space="preserve"> participación</w:t>
      </w:r>
      <w:r>
        <w:rPr>
          <w:rFonts w:ascii="Times New Roman" w:hAnsi="Times New Roman" w:cs="Times New Roman"/>
          <w:sz w:val="24"/>
          <w:szCs w:val="24"/>
        </w:rPr>
        <w:t>. Las élites partidistas chilenas todavía mostraban cierto miedo a la hipermov</w:t>
      </w:r>
      <w:r w:rsidR="00BF4068">
        <w:rPr>
          <w:rFonts w:ascii="Times New Roman" w:hAnsi="Times New Roman" w:cs="Times New Roman"/>
          <w:sz w:val="24"/>
          <w:szCs w:val="24"/>
        </w:rPr>
        <w:t xml:space="preserve">ilización, lo cual condujo, al menos durante la primera mitad de la década, a buscar </w:t>
      </w:r>
      <w:r w:rsidR="00A81986" w:rsidRPr="00043766">
        <w:rPr>
          <w:rFonts w:ascii="Times New Roman" w:hAnsi="Times New Roman" w:cs="Times New Roman"/>
          <w:sz w:val="24"/>
          <w:szCs w:val="24"/>
        </w:rPr>
        <w:t xml:space="preserve">reformas </w:t>
      </w:r>
      <w:r w:rsidR="00BF4068">
        <w:rPr>
          <w:rFonts w:ascii="Times New Roman" w:hAnsi="Times New Roman" w:cs="Times New Roman"/>
          <w:sz w:val="24"/>
          <w:szCs w:val="24"/>
        </w:rPr>
        <w:t xml:space="preserve">limitadas y no una reforma electoral que </w:t>
      </w:r>
      <w:r w:rsidR="00A81986" w:rsidRPr="00043766">
        <w:rPr>
          <w:rFonts w:ascii="Times New Roman" w:hAnsi="Times New Roman" w:cs="Times New Roman"/>
          <w:sz w:val="24"/>
          <w:szCs w:val="24"/>
        </w:rPr>
        <w:t>ampliara</w:t>
      </w:r>
      <w:r w:rsidR="00BF4068">
        <w:rPr>
          <w:rFonts w:ascii="Times New Roman" w:hAnsi="Times New Roman" w:cs="Times New Roman"/>
          <w:sz w:val="24"/>
          <w:szCs w:val="24"/>
        </w:rPr>
        <w:t xml:space="preserve"> la representación y</w:t>
      </w:r>
      <w:r w:rsidR="00A81986" w:rsidRPr="00043766">
        <w:rPr>
          <w:rFonts w:ascii="Times New Roman" w:hAnsi="Times New Roman" w:cs="Times New Roman"/>
          <w:sz w:val="24"/>
          <w:szCs w:val="24"/>
        </w:rPr>
        <w:t xml:space="preserve"> la participación (Hagopian, 2005).</w:t>
      </w:r>
    </w:p>
    <w:p w14:paraId="426B38B2" w14:textId="77777777" w:rsidR="00F342EB" w:rsidRDefault="00BF4068"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Esto cambió con la reforma </w:t>
      </w:r>
      <w:r w:rsidR="0017643E" w:rsidRPr="00043766">
        <w:rPr>
          <w:rFonts w:ascii="Times New Roman" w:hAnsi="Times New Roman" w:cs="Times New Roman"/>
          <w:sz w:val="24"/>
          <w:szCs w:val="24"/>
        </w:rPr>
        <w:t xml:space="preserve">electoral </w:t>
      </w:r>
      <w:r>
        <w:rPr>
          <w:rFonts w:ascii="Times New Roman" w:hAnsi="Times New Roman" w:cs="Times New Roman"/>
          <w:sz w:val="24"/>
          <w:szCs w:val="24"/>
        </w:rPr>
        <w:t xml:space="preserve">del </w:t>
      </w:r>
      <w:r w:rsidR="0017643E" w:rsidRPr="00043766">
        <w:rPr>
          <w:rFonts w:ascii="Times New Roman" w:hAnsi="Times New Roman" w:cs="Times New Roman"/>
          <w:sz w:val="24"/>
          <w:szCs w:val="24"/>
        </w:rPr>
        <w:t>2005</w:t>
      </w:r>
      <w:r>
        <w:rPr>
          <w:rFonts w:ascii="Times New Roman" w:hAnsi="Times New Roman" w:cs="Times New Roman"/>
          <w:sz w:val="24"/>
          <w:szCs w:val="24"/>
        </w:rPr>
        <w:t xml:space="preserve">, que desmanteló </w:t>
      </w:r>
      <w:r w:rsidR="0017643E" w:rsidRPr="00043766">
        <w:rPr>
          <w:rFonts w:ascii="Times New Roman" w:hAnsi="Times New Roman" w:cs="Times New Roman"/>
          <w:sz w:val="24"/>
          <w:szCs w:val="24"/>
        </w:rPr>
        <w:t xml:space="preserve">algunos de los </w:t>
      </w:r>
      <w:r>
        <w:rPr>
          <w:rFonts w:ascii="Times New Roman" w:hAnsi="Times New Roman" w:cs="Times New Roman"/>
          <w:sz w:val="24"/>
          <w:szCs w:val="24"/>
        </w:rPr>
        <w:t>“</w:t>
      </w:r>
      <w:r w:rsidR="0017643E" w:rsidRPr="00043766">
        <w:rPr>
          <w:rFonts w:ascii="Times New Roman" w:hAnsi="Times New Roman" w:cs="Times New Roman"/>
          <w:sz w:val="24"/>
          <w:szCs w:val="24"/>
        </w:rPr>
        <w:t>enclaves</w:t>
      </w:r>
      <w:r>
        <w:rPr>
          <w:rFonts w:ascii="Times New Roman" w:hAnsi="Times New Roman" w:cs="Times New Roman"/>
          <w:sz w:val="24"/>
          <w:szCs w:val="24"/>
        </w:rPr>
        <w:t>”</w:t>
      </w:r>
      <w:r w:rsidR="0017643E" w:rsidRPr="00043766">
        <w:rPr>
          <w:rFonts w:ascii="Times New Roman" w:hAnsi="Times New Roman" w:cs="Times New Roman"/>
          <w:sz w:val="24"/>
          <w:szCs w:val="24"/>
        </w:rPr>
        <w:t xml:space="preserve"> autoritarios</w:t>
      </w:r>
      <w:r>
        <w:rPr>
          <w:rFonts w:ascii="Times New Roman" w:hAnsi="Times New Roman" w:cs="Times New Roman"/>
          <w:sz w:val="24"/>
          <w:szCs w:val="24"/>
        </w:rPr>
        <w:t xml:space="preserve"> (Garretón,</w:t>
      </w:r>
      <w:r w:rsidR="00253BAA">
        <w:rPr>
          <w:rFonts w:ascii="Times New Roman" w:hAnsi="Times New Roman" w:cs="Times New Roman"/>
          <w:sz w:val="24"/>
          <w:szCs w:val="24"/>
        </w:rPr>
        <w:t xml:space="preserve"> 2002</w:t>
      </w:r>
      <w:r>
        <w:rPr>
          <w:rFonts w:ascii="Times New Roman" w:hAnsi="Times New Roman" w:cs="Times New Roman"/>
          <w:sz w:val="24"/>
          <w:szCs w:val="24"/>
        </w:rPr>
        <w:t>) heredados de la dictadura: se eliminó a los</w:t>
      </w:r>
      <w:r w:rsidR="0017643E" w:rsidRPr="00043766">
        <w:rPr>
          <w:rFonts w:ascii="Times New Roman" w:hAnsi="Times New Roman" w:cs="Times New Roman"/>
          <w:sz w:val="24"/>
          <w:szCs w:val="24"/>
        </w:rPr>
        <w:t xml:space="preserve"> senadores designados, se redujo el término presidencial de 5 a 4 años, sin reelección inmediata, haciendo coincidir </w:t>
      </w:r>
      <w:r>
        <w:rPr>
          <w:rFonts w:ascii="Times New Roman" w:hAnsi="Times New Roman" w:cs="Times New Roman"/>
          <w:sz w:val="24"/>
          <w:szCs w:val="24"/>
        </w:rPr>
        <w:t xml:space="preserve">la </w:t>
      </w:r>
      <w:r w:rsidR="0017643E" w:rsidRPr="00043766">
        <w:rPr>
          <w:rFonts w:ascii="Times New Roman" w:hAnsi="Times New Roman" w:cs="Times New Roman"/>
          <w:sz w:val="24"/>
          <w:szCs w:val="24"/>
        </w:rPr>
        <w:t>elección presidencial con</w:t>
      </w:r>
      <w:r>
        <w:rPr>
          <w:rFonts w:ascii="Times New Roman" w:hAnsi="Times New Roman" w:cs="Times New Roman"/>
          <w:sz w:val="24"/>
          <w:szCs w:val="24"/>
        </w:rPr>
        <w:t xml:space="preserve"> la</w:t>
      </w:r>
      <w:r w:rsidR="0017643E" w:rsidRPr="00043766">
        <w:rPr>
          <w:rFonts w:ascii="Times New Roman" w:hAnsi="Times New Roman" w:cs="Times New Roman"/>
          <w:sz w:val="24"/>
          <w:szCs w:val="24"/>
        </w:rPr>
        <w:t xml:space="preserve"> senatorial</w:t>
      </w:r>
      <w:r>
        <w:rPr>
          <w:rFonts w:ascii="Times New Roman" w:hAnsi="Times New Roman" w:cs="Times New Roman"/>
          <w:sz w:val="24"/>
          <w:szCs w:val="24"/>
        </w:rPr>
        <w:t>, y s</w:t>
      </w:r>
      <w:r w:rsidR="0017643E" w:rsidRPr="00043766">
        <w:rPr>
          <w:rFonts w:ascii="Times New Roman" w:hAnsi="Times New Roman" w:cs="Times New Roman"/>
          <w:sz w:val="24"/>
          <w:szCs w:val="24"/>
        </w:rPr>
        <w:t>e removieron</w:t>
      </w:r>
      <w:r>
        <w:rPr>
          <w:rFonts w:ascii="Times New Roman" w:hAnsi="Times New Roman" w:cs="Times New Roman"/>
          <w:sz w:val="24"/>
          <w:szCs w:val="24"/>
        </w:rPr>
        <w:t xml:space="preserve"> los</w:t>
      </w:r>
      <w:r w:rsidR="0017643E" w:rsidRPr="00043766">
        <w:rPr>
          <w:rFonts w:ascii="Times New Roman" w:hAnsi="Times New Roman" w:cs="Times New Roman"/>
          <w:sz w:val="24"/>
          <w:szCs w:val="24"/>
        </w:rPr>
        <w:t xml:space="preserve"> comandantes antes inamovibles.</w:t>
      </w:r>
      <w:r w:rsidR="00F342EB">
        <w:rPr>
          <w:rFonts w:ascii="Times New Roman" w:hAnsi="Times New Roman" w:cs="Times New Roman"/>
          <w:sz w:val="24"/>
          <w:szCs w:val="24"/>
        </w:rPr>
        <w:t xml:space="preserve"> Es importante notar que</w:t>
      </w:r>
      <w:r w:rsidR="00253BAA">
        <w:rPr>
          <w:rFonts w:ascii="Times New Roman" w:hAnsi="Times New Roman" w:cs="Times New Roman"/>
          <w:sz w:val="24"/>
          <w:szCs w:val="24"/>
        </w:rPr>
        <w:t>,</w:t>
      </w:r>
      <w:r w:rsidR="00F342EB">
        <w:rPr>
          <w:rFonts w:ascii="Times New Roman" w:hAnsi="Times New Roman" w:cs="Times New Roman"/>
          <w:sz w:val="24"/>
          <w:szCs w:val="24"/>
        </w:rPr>
        <w:t xml:space="preserve"> de alguna manera</w:t>
      </w:r>
      <w:r w:rsidR="00253BAA">
        <w:rPr>
          <w:rFonts w:ascii="Times New Roman" w:hAnsi="Times New Roman" w:cs="Times New Roman"/>
          <w:sz w:val="24"/>
          <w:szCs w:val="24"/>
        </w:rPr>
        <w:t>,</w:t>
      </w:r>
      <w:r w:rsidR="00F342EB">
        <w:rPr>
          <w:rFonts w:ascii="Times New Roman" w:hAnsi="Times New Roman" w:cs="Times New Roman"/>
          <w:sz w:val="24"/>
          <w:szCs w:val="24"/>
        </w:rPr>
        <w:t xml:space="preserve"> la reforma electoral fue posible gracias a las reformas judiciales previas. Es decir, la reforma impulsada por el gobierno de Lagos salió adelante en parte por el papel del Tribunal Constitucional en su papel revisor de decretos y reformas del Ejecutivo, pues para entonces dicho Tribunal ya se había constituido en un factor de equilibrio, con la fuerza y legitimidad suficientes para cumplir su función (Scribner, 2013).</w:t>
      </w:r>
    </w:p>
    <w:p w14:paraId="266AD19E" w14:textId="77777777" w:rsidR="00EF5BF9" w:rsidRDefault="00F342EB"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 bien las reformas del 2005 no produjeron un aumento en la participación electoral, que </w:t>
      </w:r>
      <w:r w:rsidR="00BF4068">
        <w:rPr>
          <w:rFonts w:ascii="Times New Roman" w:hAnsi="Times New Roman" w:cs="Times New Roman"/>
          <w:sz w:val="24"/>
          <w:szCs w:val="24"/>
        </w:rPr>
        <w:t xml:space="preserve">se mantuvo baja durante la década, </w:t>
      </w:r>
      <w:r w:rsidR="0017643E" w:rsidRPr="00043766">
        <w:rPr>
          <w:rFonts w:ascii="Times New Roman" w:hAnsi="Times New Roman" w:cs="Times New Roman"/>
          <w:sz w:val="24"/>
          <w:szCs w:val="24"/>
        </w:rPr>
        <w:t xml:space="preserve">al menos en relación con la tradición </w:t>
      </w:r>
      <w:r w:rsidR="00BF4068">
        <w:rPr>
          <w:rFonts w:ascii="Times New Roman" w:hAnsi="Times New Roman" w:cs="Times New Roman"/>
          <w:sz w:val="24"/>
          <w:szCs w:val="24"/>
        </w:rPr>
        <w:t xml:space="preserve">chilena </w:t>
      </w:r>
      <w:r w:rsidR="0017643E" w:rsidRPr="00043766">
        <w:rPr>
          <w:rFonts w:ascii="Times New Roman" w:hAnsi="Times New Roman" w:cs="Times New Roman"/>
          <w:sz w:val="24"/>
          <w:szCs w:val="24"/>
        </w:rPr>
        <w:t>de alta participación (Ruiz, 2011)</w:t>
      </w:r>
      <w:r w:rsidR="00BF4068">
        <w:rPr>
          <w:rFonts w:ascii="Times New Roman" w:hAnsi="Times New Roman" w:cs="Times New Roman"/>
          <w:sz w:val="24"/>
          <w:szCs w:val="24"/>
        </w:rPr>
        <w:t xml:space="preserve">, se logró desmantelar </w:t>
      </w:r>
      <w:r w:rsidR="0017643E" w:rsidRPr="00043766">
        <w:rPr>
          <w:rFonts w:ascii="Times New Roman" w:hAnsi="Times New Roman" w:cs="Times New Roman"/>
          <w:sz w:val="24"/>
          <w:szCs w:val="24"/>
        </w:rPr>
        <w:t>los poderes no democrá</w:t>
      </w:r>
      <w:r w:rsidR="008A6867" w:rsidRPr="00043766">
        <w:rPr>
          <w:rFonts w:ascii="Times New Roman" w:hAnsi="Times New Roman" w:cs="Times New Roman"/>
          <w:sz w:val="24"/>
          <w:szCs w:val="24"/>
        </w:rPr>
        <w:t>t</w:t>
      </w:r>
      <w:r w:rsidR="0017643E" w:rsidRPr="00043766">
        <w:rPr>
          <w:rFonts w:ascii="Times New Roman" w:hAnsi="Times New Roman" w:cs="Times New Roman"/>
          <w:sz w:val="24"/>
          <w:szCs w:val="24"/>
        </w:rPr>
        <w:t>icos impuestos en</w:t>
      </w:r>
      <w:r w:rsidR="00BF4068">
        <w:rPr>
          <w:rFonts w:ascii="Times New Roman" w:hAnsi="Times New Roman" w:cs="Times New Roman"/>
          <w:sz w:val="24"/>
          <w:szCs w:val="24"/>
        </w:rPr>
        <w:t xml:space="preserve"> la</w:t>
      </w:r>
      <w:r w:rsidR="0017643E" w:rsidRPr="00043766">
        <w:rPr>
          <w:rFonts w:ascii="Times New Roman" w:hAnsi="Times New Roman" w:cs="Times New Roman"/>
          <w:sz w:val="24"/>
          <w:szCs w:val="24"/>
        </w:rPr>
        <w:t xml:space="preserve"> Constitución</w:t>
      </w:r>
      <w:r w:rsidR="00BF4068">
        <w:rPr>
          <w:rFonts w:ascii="Times New Roman" w:hAnsi="Times New Roman" w:cs="Times New Roman"/>
          <w:sz w:val="24"/>
          <w:szCs w:val="24"/>
        </w:rPr>
        <w:t xml:space="preserve"> del</w:t>
      </w:r>
      <w:r w:rsidR="0017643E" w:rsidRPr="00043766">
        <w:rPr>
          <w:rFonts w:ascii="Times New Roman" w:hAnsi="Times New Roman" w:cs="Times New Roman"/>
          <w:sz w:val="24"/>
          <w:szCs w:val="24"/>
        </w:rPr>
        <w:t xml:space="preserve"> 80</w:t>
      </w:r>
      <w:r w:rsidR="00BF4068">
        <w:rPr>
          <w:rFonts w:ascii="Times New Roman" w:hAnsi="Times New Roman" w:cs="Times New Roman"/>
          <w:sz w:val="24"/>
          <w:szCs w:val="24"/>
        </w:rPr>
        <w:t>. Tales</w:t>
      </w:r>
      <w:r w:rsidR="00672970">
        <w:rPr>
          <w:rFonts w:ascii="Times New Roman" w:hAnsi="Times New Roman" w:cs="Times New Roman"/>
          <w:sz w:val="24"/>
          <w:szCs w:val="24"/>
        </w:rPr>
        <w:t xml:space="preserve"> reformas</w:t>
      </w:r>
      <w:r w:rsidR="00BF4068">
        <w:rPr>
          <w:rFonts w:ascii="Times New Roman" w:hAnsi="Times New Roman" w:cs="Times New Roman"/>
          <w:sz w:val="24"/>
          <w:szCs w:val="24"/>
        </w:rPr>
        <w:t xml:space="preserve">, de hecho, dieron fin a la </w:t>
      </w:r>
      <w:r w:rsidR="00672970">
        <w:rPr>
          <w:rFonts w:ascii="Times New Roman" w:hAnsi="Times New Roman" w:cs="Times New Roman"/>
          <w:sz w:val="24"/>
          <w:szCs w:val="24"/>
        </w:rPr>
        <w:t>transición</w:t>
      </w:r>
      <w:r w:rsidR="00BF4068">
        <w:rPr>
          <w:rFonts w:ascii="Times New Roman" w:hAnsi="Times New Roman" w:cs="Times New Roman"/>
          <w:sz w:val="24"/>
          <w:szCs w:val="24"/>
        </w:rPr>
        <w:t xml:space="preserve"> y a la consolidación chilenas</w:t>
      </w:r>
      <w:r w:rsidR="00672970">
        <w:rPr>
          <w:rFonts w:ascii="Times New Roman" w:hAnsi="Times New Roman" w:cs="Times New Roman"/>
          <w:sz w:val="24"/>
          <w:szCs w:val="24"/>
        </w:rPr>
        <w:t>, que</w:t>
      </w:r>
      <w:r w:rsidR="00BF4068">
        <w:rPr>
          <w:rFonts w:ascii="Times New Roman" w:hAnsi="Times New Roman" w:cs="Times New Roman"/>
          <w:sz w:val="24"/>
          <w:szCs w:val="24"/>
        </w:rPr>
        <w:t xml:space="preserve"> se empalmaron</w:t>
      </w:r>
      <w:r w:rsidR="00672970">
        <w:rPr>
          <w:rFonts w:ascii="Times New Roman" w:hAnsi="Times New Roman" w:cs="Times New Roman"/>
          <w:sz w:val="24"/>
          <w:szCs w:val="24"/>
        </w:rPr>
        <w:t xml:space="preserve"> debido a la permanencia de poderes no democráticos</w:t>
      </w:r>
      <w:r w:rsidR="00BF4068">
        <w:rPr>
          <w:rFonts w:ascii="Times New Roman" w:hAnsi="Times New Roman" w:cs="Times New Roman"/>
          <w:sz w:val="24"/>
          <w:szCs w:val="24"/>
        </w:rPr>
        <w:t>,</w:t>
      </w:r>
      <w:r w:rsidR="00672970">
        <w:rPr>
          <w:rFonts w:ascii="Times New Roman" w:hAnsi="Times New Roman" w:cs="Times New Roman"/>
          <w:sz w:val="24"/>
          <w:szCs w:val="24"/>
        </w:rPr>
        <w:t xml:space="preserve"> de jure</w:t>
      </w:r>
      <w:r w:rsidR="00BF4068">
        <w:rPr>
          <w:rFonts w:ascii="Times New Roman" w:hAnsi="Times New Roman" w:cs="Times New Roman"/>
          <w:sz w:val="24"/>
          <w:szCs w:val="24"/>
        </w:rPr>
        <w:t>,</w:t>
      </w:r>
      <w:r w:rsidR="00672970">
        <w:rPr>
          <w:rFonts w:ascii="Times New Roman" w:hAnsi="Times New Roman" w:cs="Times New Roman"/>
          <w:sz w:val="24"/>
          <w:szCs w:val="24"/>
        </w:rPr>
        <w:t xml:space="preserve"> que sólo pudieron ser desmantelados hasta el tercer g</w:t>
      </w:r>
      <w:r>
        <w:rPr>
          <w:rFonts w:ascii="Times New Roman" w:hAnsi="Times New Roman" w:cs="Times New Roman"/>
          <w:sz w:val="24"/>
          <w:szCs w:val="24"/>
        </w:rPr>
        <w:t>obierno post-dictatorial</w:t>
      </w:r>
      <w:r w:rsidR="00672970">
        <w:rPr>
          <w:rFonts w:ascii="Times New Roman" w:hAnsi="Times New Roman" w:cs="Times New Roman"/>
          <w:sz w:val="24"/>
          <w:szCs w:val="24"/>
        </w:rPr>
        <w:t xml:space="preserve"> (Linz y Stepan</w:t>
      </w:r>
      <w:r w:rsidR="006B5E76">
        <w:rPr>
          <w:rFonts w:ascii="Times New Roman" w:hAnsi="Times New Roman" w:cs="Times New Roman"/>
          <w:sz w:val="24"/>
          <w:szCs w:val="24"/>
        </w:rPr>
        <w:t>, 1996</w:t>
      </w:r>
      <w:r w:rsidR="00672970">
        <w:rPr>
          <w:rFonts w:ascii="Times New Roman" w:hAnsi="Times New Roman" w:cs="Times New Roman"/>
          <w:sz w:val="24"/>
          <w:szCs w:val="24"/>
        </w:rPr>
        <w:t>).</w:t>
      </w:r>
    </w:p>
    <w:p w14:paraId="6AF862C7" w14:textId="77777777" w:rsidR="0013781B" w:rsidRPr="0013781B" w:rsidRDefault="006251EE" w:rsidP="00FA33BE">
      <w:pPr>
        <w:numPr>
          <w:ilvl w:val="0"/>
          <w:numId w:val="1"/>
        </w:num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CONCLUSIONES.</w:t>
      </w:r>
    </w:p>
    <w:p w14:paraId="55F257F7" w14:textId="77777777" w:rsidR="000D263A" w:rsidRDefault="000D1AA3"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Los niveles de calidad que muestran las dimensiones de la democracia parecen estar relacionados con la </w:t>
      </w:r>
      <w:r w:rsidR="0013781B">
        <w:rPr>
          <w:rFonts w:ascii="Times New Roman" w:hAnsi="Times New Roman" w:cs="Times New Roman"/>
          <w:sz w:val="24"/>
          <w:szCs w:val="24"/>
        </w:rPr>
        <w:t>evolución institucional</w:t>
      </w:r>
      <w:r>
        <w:rPr>
          <w:rFonts w:ascii="Times New Roman" w:hAnsi="Times New Roman" w:cs="Times New Roman"/>
          <w:sz w:val="24"/>
          <w:szCs w:val="24"/>
        </w:rPr>
        <w:t xml:space="preserve"> de dichas dimensiones. México y Chile muestr</w:t>
      </w:r>
      <w:r w:rsidR="000D263A">
        <w:rPr>
          <w:rFonts w:ascii="Times New Roman" w:hAnsi="Times New Roman" w:cs="Times New Roman"/>
          <w:sz w:val="24"/>
          <w:szCs w:val="24"/>
        </w:rPr>
        <w:t xml:space="preserve">an una trayectoria opuesta en términos de </w:t>
      </w:r>
      <w:r>
        <w:rPr>
          <w:rFonts w:ascii="Times New Roman" w:hAnsi="Times New Roman" w:cs="Times New Roman"/>
          <w:sz w:val="24"/>
          <w:szCs w:val="24"/>
        </w:rPr>
        <w:t>la secuencia de cambio institucional</w:t>
      </w:r>
      <w:r w:rsidR="000D263A">
        <w:rPr>
          <w:rFonts w:ascii="Times New Roman" w:hAnsi="Times New Roman" w:cs="Times New Roman"/>
          <w:sz w:val="24"/>
          <w:szCs w:val="24"/>
        </w:rPr>
        <w:t>, pues</w:t>
      </w:r>
      <w:r>
        <w:rPr>
          <w:rFonts w:ascii="Times New Roman" w:hAnsi="Times New Roman" w:cs="Times New Roman"/>
          <w:sz w:val="24"/>
          <w:szCs w:val="24"/>
        </w:rPr>
        <w:t xml:space="preserve"> el primero privilegió las reformas electorales sobre </w:t>
      </w:r>
      <w:r w:rsidR="00A0136B">
        <w:rPr>
          <w:rFonts w:ascii="Times New Roman" w:hAnsi="Times New Roman" w:cs="Times New Roman"/>
          <w:sz w:val="24"/>
          <w:szCs w:val="24"/>
        </w:rPr>
        <w:t>la realización de reformas en materia judicial, mientras que Chile hizo lo contrario.</w:t>
      </w:r>
      <w:r w:rsidR="0013781B">
        <w:rPr>
          <w:rFonts w:ascii="Times New Roman" w:hAnsi="Times New Roman" w:cs="Times New Roman"/>
          <w:sz w:val="24"/>
          <w:szCs w:val="24"/>
        </w:rPr>
        <w:t xml:space="preserve"> </w:t>
      </w:r>
      <w:r w:rsidR="00A0136B">
        <w:rPr>
          <w:rFonts w:ascii="Times New Roman" w:hAnsi="Times New Roman" w:cs="Times New Roman"/>
          <w:sz w:val="24"/>
          <w:szCs w:val="24"/>
        </w:rPr>
        <w:t xml:space="preserve"> Asimismo, el contexto político durante los gobiernos autoritarios y durante la transición parece haber determinado, en cierta medida, las estrategias de cambio institucional incluso durante los primeros gobiernos democrá</w:t>
      </w:r>
      <w:r w:rsidR="000D263A">
        <w:rPr>
          <w:rFonts w:ascii="Times New Roman" w:hAnsi="Times New Roman" w:cs="Times New Roman"/>
          <w:sz w:val="24"/>
          <w:szCs w:val="24"/>
        </w:rPr>
        <w:t>ticos. Es decir, l</w:t>
      </w:r>
      <w:r w:rsidR="000D263A" w:rsidRPr="0013781B">
        <w:rPr>
          <w:rFonts w:ascii="Times New Roman" w:hAnsi="Times New Roman" w:cs="Times New Roman"/>
          <w:sz w:val="24"/>
          <w:szCs w:val="24"/>
        </w:rPr>
        <w:t xml:space="preserve">os principales agravios durante los regímenes autoritarios pueden </w:t>
      </w:r>
      <w:r w:rsidR="000D263A">
        <w:rPr>
          <w:rFonts w:ascii="Times New Roman" w:hAnsi="Times New Roman" w:cs="Times New Roman"/>
          <w:sz w:val="24"/>
          <w:szCs w:val="24"/>
        </w:rPr>
        <w:t xml:space="preserve">tener relación con </w:t>
      </w:r>
      <w:r w:rsidR="000D263A" w:rsidRPr="0013781B">
        <w:rPr>
          <w:rFonts w:ascii="Times New Roman" w:hAnsi="Times New Roman" w:cs="Times New Roman"/>
          <w:sz w:val="24"/>
          <w:szCs w:val="24"/>
        </w:rPr>
        <w:t xml:space="preserve">la ruta del cambio institucional durante la transición y la consolidación. Mientras en Chile la agenda de los derechos humanos y los temas de justicia era </w:t>
      </w:r>
      <w:r w:rsidR="00F77E55">
        <w:rPr>
          <w:rFonts w:ascii="Times New Roman" w:hAnsi="Times New Roman" w:cs="Times New Roman"/>
          <w:sz w:val="24"/>
          <w:szCs w:val="24"/>
        </w:rPr>
        <w:t xml:space="preserve">prioritaria </w:t>
      </w:r>
      <w:r w:rsidR="000D263A" w:rsidRPr="0013781B">
        <w:rPr>
          <w:rFonts w:ascii="Times New Roman" w:hAnsi="Times New Roman" w:cs="Times New Roman"/>
          <w:sz w:val="24"/>
          <w:szCs w:val="24"/>
        </w:rPr>
        <w:t>para l</w:t>
      </w:r>
      <w:r w:rsidR="00F77E55">
        <w:rPr>
          <w:rFonts w:ascii="Times New Roman" w:hAnsi="Times New Roman" w:cs="Times New Roman"/>
          <w:sz w:val="24"/>
          <w:szCs w:val="24"/>
        </w:rPr>
        <w:t>a oposición, en México lo fue la relacionada con</w:t>
      </w:r>
      <w:r w:rsidR="000D263A" w:rsidRPr="0013781B">
        <w:rPr>
          <w:rFonts w:ascii="Times New Roman" w:hAnsi="Times New Roman" w:cs="Times New Roman"/>
          <w:sz w:val="24"/>
          <w:szCs w:val="24"/>
        </w:rPr>
        <w:t xml:space="preserve"> las complejas y variadas modalidades del fraude electoral. En Chile</w:t>
      </w:r>
      <w:r w:rsidR="00685094">
        <w:rPr>
          <w:rFonts w:ascii="Times New Roman" w:hAnsi="Times New Roman" w:cs="Times New Roman"/>
          <w:sz w:val="24"/>
          <w:szCs w:val="24"/>
        </w:rPr>
        <w:t>,</w:t>
      </w:r>
      <w:r w:rsidR="000D263A" w:rsidRPr="0013781B">
        <w:rPr>
          <w:rFonts w:ascii="Times New Roman" w:hAnsi="Times New Roman" w:cs="Times New Roman"/>
          <w:sz w:val="24"/>
          <w:szCs w:val="24"/>
        </w:rPr>
        <w:t xml:space="preserve"> los militares fueron durante la transición y la consolidación actores de veto para una reforma político electoral importante, pero no para una reforma judici</w:t>
      </w:r>
      <w:r w:rsidR="00685094">
        <w:rPr>
          <w:rFonts w:ascii="Times New Roman" w:hAnsi="Times New Roman" w:cs="Times New Roman"/>
          <w:sz w:val="24"/>
          <w:szCs w:val="24"/>
        </w:rPr>
        <w:t>al profunda que</w:t>
      </w:r>
      <w:r w:rsidR="000D263A" w:rsidRPr="0013781B">
        <w:rPr>
          <w:rFonts w:ascii="Times New Roman" w:hAnsi="Times New Roman" w:cs="Times New Roman"/>
          <w:sz w:val="24"/>
          <w:szCs w:val="24"/>
        </w:rPr>
        <w:t xml:space="preserve"> fortaleció el sistema de justicia y permitió que al cabo fuera a través de éste, y no por los acuerdos extrajudiciales, que se dirimieran los temas pendientes sobre derechos humanos. En México, por el contrario,</w:t>
      </w:r>
      <w:r w:rsidR="00CE520E">
        <w:rPr>
          <w:rFonts w:ascii="Times New Roman" w:hAnsi="Times New Roman" w:cs="Times New Roman"/>
          <w:sz w:val="24"/>
          <w:szCs w:val="24"/>
        </w:rPr>
        <w:t xml:space="preserve"> no se generaron los incentivos para el surgimiento de una coalición que impulsara reformas relacionadas con el Estado de derecho y la justicia, de modo que</w:t>
      </w:r>
      <w:r w:rsidR="000D263A" w:rsidRPr="0013781B">
        <w:rPr>
          <w:rFonts w:ascii="Times New Roman" w:hAnsi="Times New Roman" w:cs="Times New Roman"/>
          <w:sz w:val="24"/>
          <w:szCs w:val="24"/>
        </w:rPr>
        <w:t xml:space="preserve"> la oposición privilegió la agenda de las reformas electorales </w:t>
      </w:r>
      <w:r w:rsidR="000D263A" w:rsidRPr="0013781B">
        <w:rPr>
          <w:rFonts w:ascii="Times New Roman" w:hAnsi="Times New Roman" w:cs="Times New Roman"/>
          <w:sz w:val="24"/>
          <w:szCs w:val="24"/>
        </w:rPr>
        <w:lastRenderedPageBreak/>
        <w:t xml:space="preserve">durante la transición e incluso en los primeros gobiernos democráticos. Los avances en la materia del Estado de derecho y particularmente de justicia fueron básicamente ignorados ante la urgencia de la realización de reformas que le permitieran llegar al poder, y mantenerse. Más aún, la ruta informal y por acuerdos políticos que se siguió para dirimir los conflictos post-electorales en los últimos años de la transición debilitó y deslegitimó aún más el sistema judicial, pues éste quedó al margen por completo en la solución de los desacuerdos.    </w:t>
      </w:r>
    </w:p>
    <w:p w14:paraId="4D257951" w14:textId="77777777" w:rsidR="00ED0B50" w:rsidRDefault="000D263A"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De esta forma, d</w:t>
      </w:r>
      <w:r w:rsidR="0013781B">
        <w:rPr>
          <w:rFonts w:ascii="Times New Roman" w:hAnsi="Times New Roman" w:cs="Times New Roman"/>
          <w:sz w:val="24"/>
          <w:szCs w:val="24"/>
        </w:rPr>
        <w:t>urante la década del 90 la oposición en México privilegió</w:t>
      </w:r>
      <w:r w:rsidR="00872F0F" w:rsidRPr="00043766">
        <w:rPr>
          <w:rFonts w:ascii="Times New Roman" w:hAnsi="Times New Roman" w:cs="Times New Roman"/>
          <w:sz w:val="24"/>
          <w:szCs w:val="24"/>
        </w:rPr>
        <w:t xml:space="preserve"> las reformas electorales para poder acceder al poder debido a</w:t>
      </w:r>
      <w:r w:rsidR="00A0136B">
        <w:rPr>
          <w:rFonts w:ascii="Times New Roman" w:hAnsi="Times New Roman" w:cs="Times New Roman"/>
          <w:sz w:val="24"/>
          <w:szCs w:val="24"/>
        </w:rPr>
        <w:t xml:space="preserve"> los recurrentes</w:t>
      </w:r>
      <w:r w:rsidR="00872F0F" w:rsidRPr="00043766">
        <w:rPr>
          <w:rFonts w:ascii="Times New Roman" w:hAnsi="Times New Roman" w:cs="Times New Roman"/>
          <w:sz w:val="24"/>
          <w:szCs w:val="24"/>
        </w:rPr>
        <w:t xml:space="preserve"> fraudes</w:t>
      </w:r>
      <w:r w:rsidR="00A0136B">
        <w:rPr>
          <w:rFonts w:ascii="Times New Roman" w:hAnsi="Times New Roman" w:cs="Times New Roman"/>
          <w:sz w:val="24"/>
          <w:szCs w:val="24"/>
        </w:rPr>
        <w:t xml:space="preserve"> electorales padecidos particularmente durante la década del</w:t>
      </w:r>
      <w:r w:rsidR="00872F0F" w:rsidRPr="00043766">
        <w:rPr>
          <w:rFonts w:ascii="Times New Roman" w:hAnsi="Times New Roman" w:cs="Times New Roman"/>
          <w:sz w:val="24"/>
          <w:szCs w:val="24"/>
        </w:rPr>
        <w:t xml:space="preserve"> 80.</w:t>
      </w:r>
      <w:r w:rsidR="00A15ADA">
        <w:rPr>
          <w:rFonts w:ascii="Times New Roman" w:hAnsi="Times New Roman" w:cs="Times New Roman"/>
          <w:sz w:val="24"/>
          <w:szCs w:val="24"/>
        </w:rPr>
        <w:t xml:space="preserve"> En la que sería la década de la transición,</w:t>
      </w:r>
      <w:r w:rsidR="00A15ADA" w:rsidRPr="0013781B">
        <w:rPr>
          <w:rFonts w:ascii="Times New Roman" w:hAnsi="Times New Roman" w:cs="Times New Roman"/>
          <w:sz w:val="24"/>
          <w:szCs w:val="24"/>
        </w:rPr>
        <w:t xml:space="preserve"> la oposición en México no demandó reformas relacionadas con</w:t>
      </w:r>
      <w:r w:rsidR="00A15ADA">
        <w:rPr>
          <w:rFonts w:ascii="Times New Roman" w:hAnsi="Times New Roman" w:cs="Times New Roman"/>
          <w:sz w:val="24"/>
          <w:szCs w:val="24"/>
        </w:rPr>
        <w:t xml:space="preserve"> el</w:t>
      </w:r>
      <w:r w:rsidR="00A15ADA" w:rsidRPr="0013781B">
        <w:rPr>
          <w:rFonts w:ascii="Times New Roman" w:hAnsi="Times New Roman" w:cs="Times New Roman"/>
          <w:sz w:val="24"/>
          <w:szCs w:val="24"/>
        </w:rPr>
        <w:t xml:space="preserve"> Estado de derecho ni </w:t>
      </w:r>
      <w:r w:rsidR="00A15ADA">
        <w:rPr>
          <w:rFonts w:ascii="Times New Roman" w:hAnsi="Times New Roman" w:cs="Times New Roman"/>
          <w:sz w:val="24"/>
          <w:szCs w:val="24"/>
        </w:rPr>
        <w:t xml:space="preserve">con la </w:t>
      </w:r>
      <w:r w:rsidR="00A15ADA" w:rsidRPr="0013781B">
        <w:rPr>
          <w:rFonts w:ascii="Times New Roman" w:hAnsi="Times New Roman" w:cs="Times New Roman"/>
          <w:sz w:val="24"/>
          <w:szCs w:val="24"/>
        </w:rPr>
        <w:t>justicia</w:t>
      </w:r>
      <w:r w:rsidR="00A15ADA">
        <w:rPr>
          <w:rFonts w:ascii="Times New Roman" w:hAnsi="Times New Roman" w:cs="Times New Roman"/>
          <w:sz w:val="24"/>
          <w:szCs w:val="24"/>
        </w:rPr>
        <w:t>,</w:t>
      </w:r>
      <w:r w:rsidR="00A15ADA" w:rsidRPr="0013781B">
        <w:rPr>
          <w:rFonts w:ascii="Times New Roman" w:hAnsi="Times New Roman" w:cs="Times New Roman"/>
          <w:sz w:val="24"/>
          <w:szCs w:val="24"/>
        </w:rPr>
        <w:t xml:space="preserve"> para concentrarse en las demandas electorales</w:t>
      </w:r>
      <w:r w:rsidR="00685094">
        <w:rPr>
          <w:rFonts w:ascii="Times New Roman" w:hAnsi="Times New Roman" w:cs="Times New Roman"/>
          <w:sz w:val="24"/>
          <w:szCs w:val="24"/>
        </w:rPr>
        <w:t>.</w:t>
      </w:r>
      <w:r w:rsidR="00872F0F" w:rsidRPr="00043766">
        <w:rPr>
          <w:rFonts w:ascii="Times New Roman" w:hAnsi="Times New Roman" w:cs="Times New Roman"/>
          <w:sz w:val="24"/>
          <w:szCs w:val="24"/>
        </w:rPr>
        <w:t xml:space="preserve"> </w:t>
      </w:r>
      <w:r w:rsidR="00A0136B">
        <w:rPr>
          <w:rFonts w:ascii="Times New Roman" w:hAnsi="Times New Roman" w:cs="Times New Roman"/>
          <w:sz w:val="24"/>
          <w:szCs w:val="24"/>
        </w:rPr>
        <w:t xml:space="preserve">Asimismo, la necesidad de </w:t>
      </w:r>
      <w:r w:rsidR="00872F0F" w:rsidRPr="00043766">
        <w:rPr>
          <w:rFonts w:ascii="Times New Roman" w:hAnsi="Times New Roman" w:cs="Times New Roman"/>
          <w:sz w:val="24"/>
          <w:szCs w:val="24"/>
        </w:rPr>
        <w:t>legitimidad</w:t>
      </w:r>
      <w:r w:rsidR="00604306">
        <w:rPr>
          <w:rFonts w:ascii="Times New Roman" w:hAnsi="Times New Roman" w:cs="Times New Roman"/>
          <w:sz w:val="24"/>
          <w:szCs w:val="24"/>
        </w:rPr>
        <w:t xml:space="preserve"> por parte de los </w:t>
      </w:r>
      <w:r w:rsidR="00A0136B">
        <w:rPr>
          <w:rFonts w:ascii="Times New Roman" w:hAnsi="Times New Roman" w:cs="Times New Roman"/>
          <w:sz w:val="24"/>
          <w:szCs w:val="24"/>
        </w:rPr>
        <w:t>dos gobiernos del PRI previos a la alternancia</w:t>
      </w:r>
      <w:r w:rsidR="00604306">
        <w:rPr>
          <w:rFonts w:ascii="Times New Roman" w:hAnsi="Times New Roman" w:cs="Times New Roman"/>
          <w:sz w:val="24"/>
          <w:szCs w:val="24"/>
        </w:rPr>
        <w:t xml:space="preserve"> del año 2000,</w:t>
      </w:r>
      <w:r w:rsidR="00A0136B">
        <w:rPr>
          <w:rFonts w:ascii="Times New Roman" w:hAnsi="Times New Roman" w:cs="Times New Roman"/>
          <w:sz w:val="24"/>
          <w:szCs w:val="24"/>
        </w:rPr>
        <w:t xml:space="preserve"> abrieron la puerta a dichas </w:t>
      </w:r>
      <w:r w:rsidR="00872F0F" w:rsidRPr="00043766">
        <w:rPr>
          <w:rFonts w:ascii="Times New Roman" w:hAnsi="Times New Roman" w:cs="Times New Roman"/>
          <w:sz w:val="24"/>
          <w:szCs w:val="24"/>
        </w:rPr>
        <w:t xml:space="preserve">reformas </w:t>
      </w:r>
      <w:r w:rsidR="00604306">
        <w:rPr>
          <w:rFonts w:ascii="Times New Roman" w:hAnsi="Times New Roman" w:cs="Times New Roman"/>
          <w:sz w:val="24"/>
          <w:szCs w:val="24"/>
        </w:rPr>
        <w:t>aunque fuera de manera paulatina.</w:t>
      </w:r>
      <w:r w:rsidR="00872F0F" w:rsidRPr="00043766">
        <w:rPr>
          <w:rFonts w:ascii="Times New Roman" w:hAnsi="Times New Roman" w:cs="Times New Roman"/>
          <w:sz w:val="24"/>
          <w:szCs w:val="24"/>
        </w:rPr>
        <w:t xml:space="preserve"> </w:t>
      </w:r>
      <w:r w:rsidR="00604306">
        <w:rPr>
          <w:rFonts w:ascii="Times New Roman" w:hAnsi="Times New Roman" w:cs="Times New Roman"/>
          <w:sz w:val="24"/>
          <w:szCs w:val="24"/>
        </w:rPr>
        <w:t>Así, las e</w:t>
      </w:r>
      <w:r w:rsidR="00872F0F" w:rsidRPr="00043766">
        <w:rPr>
          <w:rFonts w:ascii="Times New Roman" w:hAnsi="Times New Roman" w:cs="Times New Roman"/>
          <w:sz w:val="24"/>
          <w:szCs w:val="24"/>
        </w:rPr>
        <w:t>strategias</w:t>
      </w:r>
      <w:r w:rsidR="00604306">
        <w:rPr>
          <w:rFonts w:ascii="Times New Roman" w:hAnsi="Times New Roman" w:cs="Times New Roman"/>
          <w:sz w:val="24"/>
          <w:szCs w:val="24"/>
        </w:rPr>
        <w:t xml:space="preserve"> de la oposición mexicana se centraron en las reformas para acceder al poder, dejando de lado aquellas relacionadas con el ejercicio</w:t>
      </w:r>
      <w:r w:rsidR="00872F0F" w:rsidRPr="00043766">
        <w:rPr>
          <w:rFonts w:ascii="Times New Roman" w:hAnsi="Times New Roman" w:cs="Times New Roman"/>
          <w:sz w:val="24"/>
          <w:szCs w:val="24"/>
        </w:rPr>
        <w:t>.</w:t>
      </w:r>
      <w:r w:rsidR="00604306">
        <w:rPr>
          <w:rFonts w:ascii="Times New Roman" w:hAnsi="Times New Roman" w:cs="Times New Roman"/>
          <w:sz w:val="24"/>
          <w:szCs w:val="24"/>
        </w:rPr>
        <w:t xml:space="preserve"> Más aún, la d</w:t>
      </w:r>
      <w:r w:rsidR="00872F0F" w:rsidRPr="00043766">
        <w:rPr>
          <w:rFonts w:ascii="Times New Roman" w:hAnsi="Times New Roman" w:cs="Times New Roman"/>
          <w:sz w:val="24"/>
          <w:szCs w:val="24"/>
        </w:rPr>
        <w:t xml:space="preserve">ebilidad </w:t>
      </w:r>
      <w:r w:rsidR="00604306">
        <w:rPr>
          <w:rFonts w:ascii="Times New Roman" w:hAnsi="Times New Roman" w:cs="Times New Roman"/>
          <w:sz w:val="24"/>
          <w:szCs w:val="24"/>
        </w:rPr>
        <w:t xml:space="preserve"> del Estado de derecho se acentuó debido a los </w:t>
      </w:r>
      <w:r w:rsidR="00872F0F" w:rsidRPr="00043766">
        <w:rPr>
          <w:rFonts w:ascii="Times New Roman" w:hAnsi="Times New Roman" w:cs="Times New Roman"/>
          <w:sz w:val="24"/>
          <w:szCs w:val="24"/>
        </w:rPr>
        <w:t>incentivos</w:t>
      </w:r>
      <w:r w:rsidR="00604306">
        <w:rPr>
          <w:rFonts w:ascii="Times New Roman" w:hAnsi="Times New Roman" w:cs="Times New Roman"/>
          <w:sz w:val="24"/>
          <w:szCs w:val="24"/>
        </w:rPr>
        <w:t xml:space="preserve"> de la</w:t>
      </w:r>
      <w:r w:rsidR="00872F0F" w:rsidRPr="00043766">
        <w:rPr>
          <w:rFonts w:ascii="Times New Roman" w:hAnsi="Times New Roman" w:cs="Times New Roman"/>
          <w:sz w:val="24"/>
          <w:szCs w:val="24"/>
        </w:rPr>
        <w:t xml:space="preserve"> clase política</w:t>
      </w:r>
      <w:r w:rsidR="00604306">
        <w:rPr>
          <w:rFonts w:ascii="Times New Roman" w:hAnsi="Times New Roman" w:cs="Times New Roman"/>
          <w:sz w:val="24"/>
          <w:szCs w:val="24"/>
        </w:rPr>
        <w:t xml:space="preserve"> para</w:t>
      </w:r>
      <w:r w:rsidR="00872F0F" w:rsidRPr="00043766">
        <w:rPr>
          <w:rFonts w:ascii="Times New Roman" w:hAnsi="Times New Roman" w:cs="Times New Roman"/>
          <w:sz w:val="24"/>
          <w:szCs w:val="24"/>
        </w:rPr>
        <w:t xml:space="preserve"> seguir manipulando la ley como</w:t>
      </w:r>
      <w:r w:rsidR="00604306">
        <w:rPr>
          <w:rFonts w:ascii="Times New Roman" w:hAnsi="Times New Roman" w:cs="Times New Roman"/>
          <w:sz w:val="24"/>
          <w:szCs w:val="24"/>
        </w:rPr>
        <w:t xml:space="preserve"> instrumento político, si consideramos por </w:t>
      </w:r>
      <w:r w:rsidR="00872F0F" w:rsidRPr="00043766">
        <w:rPr>
          <w:rFonts w:ascii="Times New Roman" w:hAnsi="Times New Roman" w:cs="Times New Roman"/>
          <w:sz w:val="24"/>
          <w:szCs w:val="24"/>
        </w:rPr>
        <w:t xml:space="preserve">ejemplo </w:t>
      </w:r>
      <w:r w:rsidR="00604306">
        <w:rPr>
          <w:rFonts w:ascii="Times New Roman" w:hAnsi="Times New Roman" w:cs="Times New Roman"/>
          <w:sz w:val="24"/>
          <w:szCs w:val="24"/>
        </w:rPr>
        <w:t>las “</w:t>
      </w:r>
      <w:r w:rsidR="00872F0F" w:rsidRPr="00043766">
        <w:rPr>
          <w:rFonts w:ascii="Times New Roman" w:hAnsi="Times New Roman" w:cs="Times New Roman"/>
          <w:sz w:val="24"/>
          <w:szCs w:val="24"/>
        </w:rPr>
        <w:t>concertacesiones</w:t>
      </w:r>
      <w:r w:rsidR="00604306">
        <w:rPr>
          <w:rFonts w:ascii="Times New Roman" w:hAnsi="Times New Roman" w:cs="Times New Roman"/>
          <w:sz w:val="24"/>
          <w:szCs w:val="24"/>
        </w:rPr>
        <w:t>” electorales</w:t>
      </w:r>
      <w:r w:rsidR="00872F0F" w:rsidRPr="00043766">
        <w:rPr>
          <w:rFonts w:ascii="Times New Roman" w:hAnsi="Times New Roman" w:cs="Times New Roman"/>
          <w:sz w:val="24"/>
          <w:szCs w:val="24"/>
        </w:rPr>
        <w:t xml:space="preserve">. </w:t>
      </w:r>
      <w:r w:rsidR="00604306">
        <w:rPr>
          <w:rFonts w:ascii="Times New Roman" w:hAnsi="Times New Roman" w:cs="Times New Roman"/>
          <w:sz w:val="24"/>
          <w:szCs w:val="24"/>
        </w:rPr>
        <w:t>En esta línea, la única reforma ju</w:t>
      </w:r>
      <w:r w:rsidR="0052413C">
        <w:rPr>
          <w:rFonts w:ascii="Times New Roman" w:hAnsi="Times New Roman" w:cs="Times New Roman"/>
          <w:sz w:val="24"/>
          <w:szCs w:val="24"/>
        </w:rPr>
        <w:t>dicial que se realiza durante esa</w:t>
      </w:r>
      <w:r w:rsidR="00604306">
        <w:rPr>
          <w:rFonts w:ascii="Times New Roman" w:hAnsi="Times New Roman" w:cs="Times New Roman"/>
          <w:sz w:val="24"/>
          <w:szCs w:val="24"/>
        </w:rPr>
        <w:t xml:space="preserve"> década, la de la Sup</w:t>
      </w:r>
      <w:r w:rsidR="0052413C">
        <w:rPr>
          <w:rFonts w:ascii="Times New Roman" w:hAnsi="Times New Roman" w:cs="Times New Roman"/>
          <w:sz w:val="24"/>
          <w:szCs w:val="24"/>
        </w:rPr>
        <w:t>rema Corte, respondió</w:t>
      </w:r>
      <w:r w:rsidR="00604306">
        <w:rPr>
          <w:rFonts w:ascii="Times New Roman" w:hAnsi="Times New Roman" w:cs="Times New Roman"/>
          <w:sz w:val="24"/>
          <w:szCs w:val="24"/>
        </w:rPr>
        <w:t xml:space="preserve"> a</w:t>
      </w:r>
      <w:r w:rsidR="0052413C">
        <w:rPr>
          <w:rFonts w:ascii="Times New Roman" w:hAnsi="Times New Roman" w:cs="Times New Roman"/>
          <w:sz w:val="24"/>
          <w:szCs w:val="24"/>
        </w:rPr>
        <w:t xml:space="preserve"> un requerimiento político ante el nuevo esquema de contrapeso que representaba para el gobierno priísta un congreso sin mayoría de su partido.</w:t>
      </w:r>
      <w:r w:rsidR="00ED0B50">
        <w:rPr>
          <w:rFonts w:ascii="Times New Roman" w:hAnsi="Times New Roman" w:cs="Times New Roman"/>
          <w:sz w:val="24"/>
          <w:szCs w:val="24"/>
        </w:rPr>
        <w:t xml:space="preserve"> Esta reforma era relevante para la clase política en términos de la búsqueda de un árbitro, la Suprema Corte,</w:t>
      </w:r>
      <w:r w:rsidR="006D22AE">
        <w:rPr>
          <w:rFonts w:ascii="Times New Roman" w:hAnsi="Times New Roman" w:cs="Times New Roman"/>
          <w:sz w:val="24"/>
          <w:szCs w:val="24"/>
        </w:rPr>
        <w:t xml:space="preserve"> que dirimiera disputas entre gobierno y partidos alrededor de ciertos temas fundamentales de la competencia política </w:t>
      </w:r>
    </w:p>
    <w:p w14:paraId="31AC096B" w14:textId="77777777" w:rsidR="006251EE" w:rsidRDefault="00872F0F" w:rsidP="00FA33BE">
      <w:pPr>
        <w:spacing w:line="240" w:lineRule="auto"/>
        <w:jc w:val="both"/>
        <w:rPr>
          <w:rFonts w:ascii="Times New Roman" w:hAnsi="Times New Roman" w:cs="Times New Roman"/>
          <w:sz w:val="24"/>
          <w:szCs w:val="24"/>
        </w:rPr>
      </w:pPr>
      <w:r w:rsidRPr="00043766">
        <w:rPr>
          <w:rFonts w:ascii="Times New Roman" w:hAnsi="Times New Roman" w:cs="Times New Roman"/>
          <w:sz w:val="24"/>
          <w:szCs w:val="24"/>
        </w:rPr>
        <w:t>En México las élites par</w:t>
      </w:r>
      <w:r w:rsidR="00A15ADA">
        <w:rPr>
          <w:rFonts w:ascii="Times New Roman" w:hAnsi="Times New Roman" w:cs="Times New Roman"/>
          <w:sz w:val="24"/>
          <w:szCs w:val="24"/>
        </w:rPr>
        <w:t>tidistas y parlamentarias continuaron</w:t>
      </w:r>
      <w:r w:rsidRPr="00043766">
        <w:rPr>
          <w:rFonts w:ascii="Times New Roman" w:hAnsi="Times New Roman" w:cs="Times New Roman"/>
          <w:sz w:val="24"/>
          <w:szCs w:val="24"/>
        </w:rPr>
        <w:t>, en la década del 2000, concentradas en el tema electoral, en gestionar su acceso al poder y a recursos públicos.</w:t>
      </w:r>
      <w:r w:rsidR="00A15ADA">
        <w:rPr>
          <w:rFonts w:ascii="Times New Roman" w:hAnsi="Times New Roman" w:cs="Times New Roman"/>
          <w:sz w:val="24"/>
          <w:szCs w:val="24"/>
        </w:rPr>
        <w:t xml:space="preserve"> Justamente, e</w:t>
      </w:r>
      <w:r w:rsidR="00CE0DC1" w:rsidRPr="0013781B">
        <w:rPr>
          <w:rFonts w:ascii="Times New Roman" w:hAnsi="Times New Roman" w:cs="Times New Roman"/>
          <w:sz w:val="24"/>
          <w:szCs w:val="24"/>
        </w:rPr>
        <w:t xml:space="preserve">l único </w:t>
      </w:r>
      <w:r w:rsidR="00A15ADA">
        <w:rPr>
          <w:rFonts w:ascii="Times New Roman" w:hAnsi="Times New Roman" w:cs="Times New Roman"/>
          <w:sz w:val="24"/>
          <w:szCs w:val="24"/>
        </w:rPr>
        <w:t>campo donde el poder judicial tuvo mayor desarrollo</w:t>
      </w:r>
      <w:r w:rsidR="00CE0DC1" w:rsidRPr="0013781B">
        <w:rPr>
          <w:rFonts w:ascii="Times New Roman" w:hAnsi="Times New Roman" w:cs="Times New Roman"/>
          <w:sz w:val="24"/>
          <w:szCs w:val="24"/>
        </w:rPr>
        <w:t xml:space="preserve"> fue en el electoral,</w:t>
      </w:r>
      <w:r w:rsidR="00A15ADA">
        <w:rPr>
          <w:rFonts w:ascii="Times New Roman" w:hAnsi="Times New Roman" w:cs="Times New Roman"/>
          <w:sz w:val="24"/>
          <w:szCs w:val="24"/>
        </w:rPr>
        <w:t xml:space="preserve"> a partir de las diversas reformas electorales de las décadas del 90 y del 2000,</w:t>
      </w:r>
      <w:r w:rsidR="00CE0DC1" w:rsidRPr="0013781B">
        <w:rPr>
          <w:rFonts w:ascii="Times New Roman" w:hAnsi="Times New Roman" w:cs="Times New Roman"/>
          <w:sz w:val="24"/>
          <w:szCs w:val="24"/>
        </w:rPr>
        <w:t xml:space="preserve"> por la necesidad de los par</w:t>
      </w:r>
      <w:r w:rsidR="00777101" w:rsidRPr="0013781B">
        <w:rPr>
          <w:rFonts w:ascii="Times New Roman" w:hAnsi="Times New Roman" w:cs="Times New Roman"/>
          <w:sz w:val="24"/>
          <w:szCs w:val="24"/>
        </w:rPr>
        <w:t>tidos de contar con autoridades</w:t>
      </w:r>
      <w:r w:rsidR="00A15ADA">
        <w:rPr>
          <w:rFonts w:ascii="Times New Roman" w:hAnsi="Times New Roman" w:cs="Times New Roman"/>
          <w:sz w:val="24"/>
          <w:szCs w:val="24"/>
        </w:rPr>
        <w:t xml:space="preserve"> confiables  para la solución </w:t>
      </w:r>
      <w:r w:rsidR="00CE520E">
        <w:rPr>
          <w:rFonts w:ascii="Times New Roman" w:hAnsi="Times New Roman" w:cs="Times New Roman"/>
          <w:sz w:val="24"/>
          <w:szCs w:val="24"/>
        </w:rPr>
        <w:t>de conflictos en esta</w:t>
      </w:r>
      <w:r w:rsidR="00A15ADA">
        <w:rPr>
          <w:rFonts w:ascii="Times New Roman" w:hAnsi="Times New Roman" w:cs="Times New Roman"/>
          <w:sz w:val="24"/>
          <w:szCs w:val="24"/>
        </w:rPr>
        <w:t xml:space="preserve"> materia</w:t>
      </w:r>
      <w:r w:rsidR="00777101" w:rsidRPr="0013781B">
        <w:rPr>
          <w:rFonts w:ascii="Times New Roman" w:hAnsi="Times New Roman" w:cs="Times New Roman"/>
          <w:sz w:val="24"/>
          <w:szCs w:val="24"/>
        </w:rPr>
        <w:t>.</w:t>
      </w:r>
      <w:r w:rsidR="00A15ADA">
        <w:rPr>
          <w:rFonts w:ascii="Times New Roman" w:hAnsi="Times New Roman" w:cs="Times New Roman"/>
          <w:sz w:val="24"/>
          <w:szCs w:val="24"/>
        </w:rPr>
        <w:t xml:space="preserve"> </w:t>
      </w:r>
    </w:p>
    <w:p w14:paraId="2FF2246A" w14:textId="77777777" w:rsidR="00F4096C" w:rsidRPr="0013781B" w:rsidRDefault="00CE520E"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El proceso chileno es el inverso. L</w:t>
      </w:r>
      <w:r w:rsidRPr="00043766">
        <w:rPr>
          <w:rFonts w:ascii="Times New Roman" w:hAnsi="Times New Roman" w:cs="Times New Roman"/>
          <w:sz w:val="24"/>
          <w:szCs w:val="24"/>
        </w:rPr>
        <w:t>os acuerdos de transición restringe</w:t>
      </w:r>
      <w:r>
        <w:rPr>
          <w:rFonts w:ascii="Times New Roman" w:hAnsi="Times New Roman" w:cs="Times New Roman"/>
          <w:sz w:val="24"/>
          <w:szCs w:val="24"/>
        </w:rPr>
        <w:t>n el acceso y la representación en órganos clave como el congreso, vetando la realización de reformas de naturaleza electoral que modificaran ese arreglo, pero a cambio se realizan</w:t>
      </w:r>
      <w:r w:rsidRPr="00043766">
        <w:rPr>
          <w:rFonts w:ascii="Times New Roman" w:hAnsi="Times New Roman" w:cs="Times New Roman"/>
          <w:sz w:val="24"/>
          <w:szCs w:val="24"/>
        </w:rPr>
        <w:t xml:space="preserve"> reformas judiciales</w:t>
      </w:r>
      <w:r>
        <w:rPr>
          <w:rFonts w:ascii="Times New Roman" w:hAnsi="Times New Roman" w:cs="Times New Roman"/>
          <w:sz w:val="24"/>
          <w:szCs w:val="24"/>
        </w:rPr>
        <w:t xml:space="preserve"> y</w:t>
      </w:r>
      <w:r w:rsidRPr="00043766">
        <w:rPr>
          <w:rFonts w:ascii="Times New Roman" w:hAnsi="Times New Roman" w:cs="Times New Roman"/>
          <w:sz w:val="24"/>
          <w:szCs w:val="24"/>
        </w:rPr>
        <w:t xml:space="preserve"> penales </w:t>
      </w:r>
      <w:r>
        <w:rPr>
          <w:rFonts w:ascii="Times New Roman" w:hAnsi="Times New Roman" w:cs="Times New Roman"/>
          <w:sz w:val="24"/>
          <w:szCs w:val="24"/>
        </w:rPr>
        <w:t>profundas que tuvieron un impacto importante en la consolidación del Estado de derecho</w:t>
      </w:r>
      <w:r w:rsidRPr="00043766">
        <w:rPr>
          <w:rFonts w:ascii="Times New Roman" w:hAnsi="Times New Roman" w:cs="Times New Roman"/>
          <w:sz w:val="24"/>
          <w:szCs w:val="24"/>
        </w:rPr>
        <w:t>.</w:t>
      </w:r>
      <w:r>
        <w:rPr>
          <w:rFonts w:ascii="Times New Roman" w:hAnsi="Times New Roman" w:cs="Times New Roman"/>
          <w:sz w:val="24"/>
          <w:szCs w:val="24"/>
        </w:rPr>
        <w:t xml:space="preserve"> La oposición chilena convertida en gobierno aceptó las reglas impuestas por estos acuerdos, pero a cambio adoptó la estrategia de impulsar cambios de naturaleza judicial que a la larga permitieron, mediante el fortalecimiento de este poder público, poner en el debate público e incluso someter a  tribunales las cuentas pendientes en materia de derechos humanos heredadas de la dictadura. </w:t>
      </w:r>
      <w:r w:rsidR="00F4096C">
        <w:rPr>
          <w:rFonts w:ascii="Times New Roman" w:hAnsi="Times New Roman" w:cs="Times New Roman"/>
          <w:sz w:val="24"/>
          <w:szCs w:val="24"/>
        </w:rPr>
        <w:t>De tal forma, C</w:t>
      </w:r>
      <w:r w:rsidR="00A25D0F" w:rsidRPr="0013781B">
        <w:rPr>
          <w:rFonts w:ascii="Times New Roman" w:hAnsi="Times New Roman" w:cs="Times New Roman"/>
          <w:sz w:val="24"/>
          <w:szCs w:val="24"/>
        </w:rPr>
        <w:t>hile pa</w:t>
      </w:r>
      <w:r>
        <w:rPr>
          <w:rFonts w:ascii="Times New Roman" w:hAnsi="Times New Roman" w:cs="Times New Roman"/>
          <w:sz w:val="24"/>
          <w:szCs w:val="24"/>
        </w:rPr>
        <w:t>rece contradecir el supuesto</w:t>
      </w:r>
      <w:r w:rsidR="00A25D0F" w:rsidRPr="0013781B">
        <w:rPr>
          <w:rFonts w:ascii="Times New Roman" w:hAnsi="Times New Roman" w:cs="Times New Roman"/>
          <w:sz w:val="24"/>
          <w:szCs w:val="24"/>
        </w:rPr>
        <w:t xml:space="preserve"> acerca de que</w:t>
      </w:r>
      <w:r>
        <w:rPr>
          <w:rFonts w:ascii="Times New Roman" w:hAnsi="Times New Roman" w:cs="Times New Roman"/>
          <w:sz w:val="24"/>
          <w:szCs w:val="24"/>
        </w:rPr>
        <w:t>,</w:t>
      </w:r>
      <w:r w:rsidR="00A25D0F" w:rsidRPr="0013781B">
        <w:rPr>
          <w:rFonts w:ascii="Times New Roman" w:hAnsi="Times New Roman" w:cs="Times New Roman"/>
          <w:sz w:val="24"/>
          <w:szCs w:val="24"/>
        </w:rPr>
        <w:t xml:space="preserve"> típicamente</w:t>
      </w:r>
      <w:r>
        <w:rPr>
          <w:rFonts w:ascii="Times New Roman" w:hAnsi="Times New Roman" w:cs="Times New Roman"/>
          <w:sz w:val="24"/>
          <w:szCs w:val="24"/>
        </w:rPr>
        <w:t>,</w:t>
      </w:r>
      <w:r w:rsidR="00A25D0F" w:rsidRPr="0013781B">
        <w:rPr>
          <w:rFonts w:ascii="Times New Roman" w:hAnsi="Times New Roman" w:cs="Times New Roman"/>
          <w:sz w:val="24"/>
          <w:szCs w:val="24"/>
        </w:rPr>
        <w:t xml:space="preserve"> las reformas políticas y electorales son las primeras que se establecen </w:t>
      </w:r>
      <w:r w:rsidR="00F4096C">
        <w:rPr>
          <w:rFonts w:ascii="Times New Roman" w:hAnsi="Times New Roman" w:cs="Times New Roman"/>
          <w:sz w:val="24"/>
          <w:szCs w:val="24"/>
        </w:rPr>
        <w:t>o las más fáciles, y que</w:t>
      </w:r>
      <w:r w:rsidR="00A25D0F" w:rsidRPr="0013781B">
        <w:rPr>
          <w:rFonts w:ascii="Times New Roman" w:hAnsi="Times New Roman" w:cs="Times New Roman"/>
          <w:sz w:val="24"/>
          <w:szCs w:val="24"/>
        </w:rPr>
        <w:t xml:space="preserve"> las relacionadas con la rendición de cuentas y </w:t>
      </w:r>
      <w:r w:rsidR="00F4096C">
        <w:rPr>
          <w:rFonts w:ascii="Times New Roman" w:hAnsi="Times New Roman" w:cs="Times New Roman"/>
          <w:sz w:val="24"/>
          <w:szCs w:val="24"/>
        </w:rPr>
        <w:t xml:space="preserve">el </w:t>
      </w:r>
      <w:r w:rsidR="00A25D0F" w:rsidRPr="0013781B">
        <w:rPr>
          <w:rFonts w:ascii="Times New Roman" w:hAnsi="Times New Roman" w:cs="Times New Roman"/>
          <w:sz w:val="24"/>
          <w:szCs w:val="24"/>
        </w:rPr>
        <w:t>E</w:t>
      </w:r>
      <w:r w:rsidR="00F4096C">
        <w:rPr>
          <w:rFonts w:ascii="Times New Roman" w:hAnsi="Times New Roman" w:cs="Times New Roman"/>
          <w:sz w:val="24"/>
          <w:szCs w:val="24"/>
        </w:rPr>
        <w:t>stado de derecho vendrían después</w:t>
      </w:r>
      <w:r>
        <w:rPr>
          <w:rFonts w:ascii="Times New Roman" w:hAnsi="Times New Roman" w:cs="Times New Roman"/>
          <w:sz w:val="24"/>
          <w:szCs w:val="24"/>
        </w:rPr>
        <w:t xml:space="preserve"> (</w:t>
      </w:r>
      <w:r w:rsidRPr="0013781B">
        <w:rPr>
          <w:rFonts w:ascii="Times New Roman" w:hAnsi="Times New Roman" w:cs="Times New Roman"/>
          <w:sz w:val="24"/>
          <w:szCs w:val="24"/>
        </w:rPr>
        <w:t>Schmitter y Santiso</w:t>
      </w:r>
      <w:r>
        <w:rPr>
          <w:rFonts w:ascii="Times New Roman" w:hAnsi="Times New Roman" w:cs="Times New Roman"/>
          <w:sz w:val="24"/>
          <w:szCs w:val="24"/>
        </w:rPr>
        <w:t>, 1998)</w:t>
      </w:r>
      <w:r w:rsidR="00F4096C">
        <w:rPr>
          <w:rFonts w:ascii="Times New Roman" w:hAnsi="Times New Roman" w:cs="Times New Roman"/>
          <w:sz w:val="24"/>
          <w:szCs w:val="24"/>
        </w:rPr>
        <w:t xml:space="preserve">, pues su proceso es exactamente el contrario. Como contraparte, el caso de </w:t>
      </w:r>
      <w:r w:rsidR="00F4096C" w:rsidRPr="0013781B">
        <w:rPr>
          <w:rFonts w:ascii="Times New Roman" w:hAnsi="Times New Roman" w:cs="Times New Roman"/>
          <w:sz w:val="24"/>
          <w:szCs w:val="24"/>
        </w:rPr>
        <w:t>México sugiere que</w:t>
      </w:r>
      <w:r w:rsidR="00F77E55">
        <w:rPr>
          <w:rFonts w:ascii="Times New Roman" w:hAnsi="Times New Roman" w:cs="Times New Roman"/>
          <w:sz w:val="24"/>
          <w:szCs w:val="24"/>
        </w:rPr>
        <w:t xml:space="preserve"> una secuencia de cambio institucional que antepone las reformas electorales a las relacionadas con el Estado de derecho a la larga es desfavorable para las últimas. S</w:t>
      </w:r>
      <w:r w:rsidR="00F4096C" w:rsidRPr="0013781B">
        <w:rPr>
          <w:rFonts w:ascii="Times New Roman" w:hAnsi="Times New Roman" w:cs="Times New Roman"/>
          <w:sz w:val="24"/>
          <w:szCs w:val="24"/>
        </w:rPr>
        <w:t>i desde el i</w:t>
      </w:r>
      <w:r w:rsidR="00F4096C">
        <w:rPr>
          <w:rFonts w:ascii="Times New Roman" w:hAnsi="Times New Roman" w:cs="Times New Roman"/>
          <w:sz w:val="24"/>
          <w:szCs w:val="24"/>
        </w:rPr>
        <w:t>nicio</w:t>
      </w:r>
      <w:r w:rsidR="00F77E55">
        <w:rPr>
          <w:rFonts w:ascii="Times New Roman" w:hAnsi="Times New Roman" w:cs="Times New Roman"/>
          <w:sz w:val="24"/>
          <w:szCs w:val="24"/>
        </w:rPr>
        <w:t xml:space="preserve"> de la </w:t>
      </w:r>
      <w:r w:rsidR="00F77E55">
        <w:rPr>
          <w:rFonts w:ascii="Times New Roman" w:hAnsi="Times New Roman" w:cs="Times New Roman"/>
          <w:sz w:val="24"/>
          <w:szCs w:val="24"/>
        </w:rPr>
        <w:lastRenderedPageBreak/>
        <w:t>transición</w:t>
      </w:r>
      <w:r w:rsidR="00F4096C">
        <w:rPr>
          <w:rFonts w:ascii="Times New Roman" w:hAnsi="Times New Roman" w:cs="Times New Roman"/>
          <w:sz w:val="24"/>
          <w:szCs w:val="24"/>
        </w:rPr>
        <w:t xml:space="preserve"> no se impulsan reformas relacionadas con el Estado</w:t>
      </w:r>
      <w:r w:rsidR="00F4096C" w:rsidRPr="0013781B">
        <w:rPr>
          <w:rFonts w:ascii="Times New Roman" w:hAnsi="Times New Roman" w:cs="Times New Roman"/>
          <w:sz w:val="24"/>
          <w:szCs w:val="24"/>
        </w:rPr>
        <w:t xml:space="preserve"> de derecho y</w:t>
      </w:r>
      <w:r w:rsidR="00F4096C">
        <w:rPr>
          <w:rFonts w:ascii="Times New Roman" w:hAnsi="Times New Roman" w:cs="Times New Roman"/>
          <w:sz w:val="24"/>
          <w:szCs w:val="24"/>
        </w:rPr>
        <w:t xml:space="preserve"> con el establecimiento</w:t>
      </w:r>
      <w:r w:rsidR="00F4096C" w:rsidRPr="0013781B">
        <w:rPr>
          <w:rFonts w:ascii="Times New Roman" w:hAnsi="Times New Roman" w:cs="Times New Roman"/>
          <w:sz w:val="24"/>
          <w:szCs w:val="24"/>
        </w:rPr>
        <w:t xml:space="preserve"> de contrapesos</w:t>
      </w:r>
      <w:r w:rsidR="00F4096C">
        <w:rPr>
          <w:rFonts w:ascii="Times New Roman" w:hAnsi="Times New Roman" w:cs="Times New Roman"/>
          <w:sz w:val="24"/>
          <w:szCs w:val="24"/>
        </w:rPr>
        <w:t>, posteriormente puede resulta</w:t>
      </w:r>
      <w:r w:rsidR="00DD79C0">
        <w:rPr>
          <w:rFonts w:ascii="Times New Roman" w:hAnsi="Times New Roman" w:cs="Times New Roman"/>
          <w:sz w:val="24"/>
          <w:szCs w:val="24"/>
        </w:rPr>
        <w:t>r</w:t>
      </w:r>
      <w:r w:rsidR="00F4096C">
        <w:rPr>
          <w:rFonts w:ascii="Times New Roman" w:hAnsi="Times New Roman" w:cs="Times New Roman"/>
          <w:sz w:val="24"/>
          <w:szCs w:val="24"/>
        </w:rPr>
        <w:t xml:space="preserve"> más</w:t>
      </w:r>
      <w:r w:rsidR="00F4096C" w:rsidRPr="0013781B">
        <w:rPr>
          <w:rFonts w:ascii="Times New Roman" w:hAnsi="Times New Roman" w:cs="Times New Roman"/>
          <w:sz w:val="24"/>
          <w:szCs w:val="24"/>
        </w:rPr>
        <w:t xml:space="preserve"> difícil</w:t>
      </w:r>
      <w:r w:rsidR="00F4096C">
        <w:rPr>
          <w:rFonts w:ascii="Times New Roman" w:hAnsi="Times New Roman" w:cs="Times New Roman"/>
          <w:sz w:val="24"/>
          <w:szCs w:val="24"/>
        </w:rPr>
        <w:t>, pues se debe</w:t>
      </w:r>
      <w:r w:rsidR="00F4096C" w:rsidRPr="0013781B">
        <w:rPr>
          <w:rFonts w:ascii="Times New Roman" w:hAnsi="Times New Roman" w:cs="Times New Roman"/>
          <w:sz w:val="24"/>
          <w:szCs w:val="24"/>
        </w:rPr>
        <w:t xml:space="preserve"> romper el </w:t>
      </w:r>
      <w:r w:rsidR="00F4096C">
        <w:rPr>
          <w:rFonts w:ascii="Times New Roman" w:hAnsi="Times New Roman" w:cs="Times New Roman"/>
          <w:i/>
          <w:sz w:val="24"/>
          <w:szCs w:val="24"/>
        </w:rPr>
        <w:t>statu</w:t>
      </w:r>
      <w:r w:rsidR="00F4096C" w:rsidRPr="00F4096C">
        <w:rPr>
          <w:rFonts w:ascii="Times New Roman" w:hAnsi="Times New Roman" w:cs="Times New Roman"/>
          <w:i/>
          <w:sz w:val="24"/>
          <w:szCs w:val="24"/>
        </w:rPr>
        <w:t xml:space="preserve"> quo</w:t>
      </w:r>
      <w:r w:rsidR="00F4096C">
        <w:rPr>
          <w:rFonts w:ascii="Times New Roman" w:hAnsi="Times New Roman" w:cs="Times New Roman"/>
          <w:sz w:val="24"/>
          <w:szCs w:val="24"/>
        </w:rPr>
        <w:t xml:space="preserve"> de un sistema consolidado que permite a los principales partidos </w:t>
      </w:r>
      <w:r w:rsidR="00F4096C" w:rsidRPr="0013781B">
        <w:rPr>
          <w:rFonts w:ascii="Times New Roman" w:hAnsi="Times New Roman" w:cs="Times New Roman"/>
          <w:sz w:val="24"/>
          <w:szCs w:val="24"/>
        </w:rPr>
        <w:t>competir y acceder al poder</w:t>
      </w:r>
      <w:r w:rsidR="00F4096C">
        <w:rPr>
          <w:rFonts w:ascii="Times New Roman" w:hAnsi="Times New Roman" w:cs="Times New Roman"/>
          <w:sz w:val="24"/>
          <w:szCs w:val="24"/>
        </w:rPr>
        <w:t xml:space="preserve"> y a los recursos públicos</w:t>
      </w:r>
      <w:r w:rsidR="00F4096C" w:rsidRPr="0013781B">
        <w:rPr>
          <w:rFonts w:ascii="Times New Roman" w:hAnsi="Times New Roman" w:cs="Times New Roman"/>
          <w:sz w:val="24"/>
          <w:szCs w:val="24"/>
        </w:rPr>
        <w:t xml:space="preserve">. </w:t>
      </w:r>
    </w:p>
    <w:p w14:paraId="776BC87A" w14:textId="77777777" w:rsidR="00F97F0D" w:rsidRPr="0013781B" w:rsidRDefault="00F97F0D"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BIBLIOGRAFÍA.</w:t>
      </w:r>
    </w:p>
    <w:p w14:paraId="7CF6E594" w14:textId="77777777" w:rsidR="007A2BA4" w:rsidRDefault="007A2BA4" w:rsidP="00FA3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Barreda, Mikel </w:t>
      </w:r>
    </w:p>
    <w:p w14:paraId="26D2694F" w14:textId="77777777" w:rsidR="00322690" w:rsidRPr="0013781B" w:rsidRDefault="00322690"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rPr>
        <w:t>2011</w:t>
      </w:r>
      <w:r w:rsidR="007A2BA4">
        <w:rPr>
          <w:rFonts w:ascii="Times New Roman" w:hAnsi="Times New Roman" w:cs="Times New Roman"/>
          <w:sz w:val="24"/>
          <w:szCs w:val="24"/>
        </w:rPr>
        <w:t xml:space="preserve"> </w:t>
      </w:r>
      <w:r w:rsidRPr="0013781B">
        <w:rPr>
          <w:rFonts w:ascii="Times New Roman" w:hAnsi="Times New Roman" w:cs="Times New Roman"/>
          <w:sz w:val="24"/>
          <w:szCs w:val="24"/>
        </w:rPr>
        <w:t xml:space="preserve">“La calidad de la democracia. Un análisis comparado de América Latina”, en </w:t>
      </w:r>
      <w:r w:rsidRPr="0013781B">
        <w:rPr>
          <w:rFonts w:ascii="Times New Roman" w:hAnsi="Times New Roman" w:cs="Times New Roman"/>
          <w:i/>
          <w:sz w:val="24"/>
          <w:szCs w:val="24"/>
        </w:rPr>
        <w:t>Política y Gobierno</w:t>
      </w:r>
      <w:r w:rsidRPr="0013781B">
        <w:rPr>
          <w:rFonts w:ascii="Times New Roman" w:hAnsi="Times New Roman" w:cs="Times New Roman"/>
          <w:sz w:val="24"/>
          <w:szCs w:val="24"/>
        </w:rPr>
        <w:t xml:space="preserve">, vol. </w:t>
      </w:r>
      <w:proofErr w:type="gramStart"/>
      <w:r w:rsidRPr="0013781B">
        <w:rPr>
          <w:rFonts w:ascii="Times New Roman" w:hAnsi="Times New Roman" w:cs="Times New Roman"/>
          <w:sz w:val="24"/>
          <w:szCs w:val="24"/>
          <w:lang w:val="en-US"/>
        </w:rPr>
        <w:t xml:space="preserve">XVIII, </w:t>
      </w:r>
      <w:proofErr w:type="spellStart"/>
      <w:r w:rsidRPr="0013781B">
        <w:rPr>
          <w:rFonts w:ascii="Times New Roman" w:hAnsi="Times New Roman" w:cs="Times New Roman"/>
          <w:sz w:val="24"/>
          <w:szCs w:val="24"/>
          <w:lang w:val="en-US"/>
        </w:rPr>
        <w:t>núm</w:t>
      </w:r>
      <w:proofErr w:type="spellEnd"/>
      <w:r w:rsidRPr="0013781B">
        <w:rPr>
          <w:rFonts w:ascii="Times New Roman" w:hAnsi="Times New Roman" w:cs="Times New Roman"/>
          <w:sz w:val="24"/>
          <w:szCs w:val="24"/>
          <w:lang w:val="en-US"/>
        </w:rPr>
        <w:t>.</w:t>
      </w:r>
      <w:proofErr w:type="gramEnd"/>
      <w:r w:rsidRPr="0013781B">
        <w:rPr>
          <w:rFonts w:ascii="Times New Roman" w:hAnsi="Times New Roman" w:cs="Times New Roman"/>
          <w:sz w:val="24"/>
          <w:szCs w:val="24"/>
          <w:lang w:val="en-US"/>
        </w:rPr>
        <w:t xml:space="preserve"> 2. </w:t>
      </w:r>
    </w:p>
    <w:p w14:paraId="711ECFFE" w14:textId="77777777" w:rsidR="007A2BA4" w:rsidRDefault="00F20B9C"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Bates, Robert H., Greif, </w:t>
      </w:r>
      <w:proofErr w:type="spellStart"/>
      <w:r w:rsidRPr="0013781B">
        <w:rPr>
          <w:rFonts w:ascii="Times New Roman" w:hAnsi="Times New Roman" w:cs="Times New Roman"/>
          <w:sz w:val="24"/>
          <w:szCs w:val="24"/>
          <w:lang w:val="en-US"/>
        </w:rPr>
        <w:t>Avner</w:t>
      </w:r>
      <w:proofErr w:type="spellEnd"/>
      <w:r w:rsidRPr="0013781B">
        <w:rPr>
          <w:rFonts w:ascii="Times New Roman" w:hAnsi="Times New Roman" w:cs="Times New Roman"/>
          <w:sz w:val="24"/>
          <w:szCs w:val="24"/>
          <w:lang w:val="en-US"/>
        </w:rPr>
        <w:t xml:space="preserve"> y Levi, Margaret, </w:t>
      </w:r>
      <w:r w:rsidRPr="0013781B">
        <w:rPr>
          <w:rFonts w:ascii="Times New Roman" w:hAnsi="Times New Roman" w:cs="Times New Roman"/>
          <w:i/>
          <w:sz w:val="24"/>
          <w:szCs w:val="24"/>
          <w:lang w:val="en-US"/>
        </w:rPr>
        <w:t>et.al</w:t>
      </w:r>
      <w:r w:rsidR="007A2BA4">
        <w:rPr>
          <w:rFonts w:ascii="Times New Roman" w:hAnsi="Times New Roman" w:cs="Times New Roman"/>
          <w:sz w:val="24"/>
          <w:szCs w:val="24"/>
          <w:lang w:val="en-US"/>
        </w:rPr>
        <w:t xml:space="preserve"> </w:t>
      </w:r>
    </w:p>
    <w:p w14:paraId="461E2A60" w14:textId="77777777" w:rsidR="00F20B9C" w:rsidRPr="0013781B" w:rsidRDefault="007A2BA4" w:rsidP="00FA33BE">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1998</w:t>
      </w:r>
      <w:r w:rsidR="00F20B9C" w:rsidRPr="0013781B">
        <w:rPr>
          <w:rFonts w:ascii="Times New Roman" w:hAnsi="Times New Roman" w:cs="Times New Roman"/>
          <w:sz w:val="24"/>
          <w:szCs w:val="24"/>
          <w:lang w:val="en-US"/>
        </w:rPr>
        <w:t xml:space="preserve"> </w:t>
      </w:r>
      <w:r w:rsidR="00F20B9C" w:rsidRPr="0013781B">
        <w:rPr>
          <w:rFonts w:ascii="Times New Roman" w:hAnsi="Times New Roman" w:cs="Times New Roman"/>
          <w:i/>
          <w:sz w:val="24"/>
          <w:szCs w:val="24"/>
          <w:lang w:val="en-US"/>
        </w:rPr>
        <w:t>Analytic narratives</w:t>
      </w:r>
      <w:r w:rsidR="00F20B9C" w:rsidRPr="0013781B">
        <w:rPr>
          <w:rFonts w:ascii="Times New Roman" w:hAnsi="Times New Roman" w:cs="Times New Roman"/>
          <w:sz w:val="24"/>
          <w:szCs w:val="24"/>
          <w:lang w:val="en-US"/>
        </w:rPr>
        <w:t>, Princeton University Press.</w:t>
      </w:r>
      <w:proofErr w:type="gramEnd"/>
      <w:r w:rsidR="00F20B9C" w:rsidRPr="0013781B">
        <w:rPr>
          <w:rFonts w:ascii="Times New Roman" w:hAnsi="Times New Roman" w:cs="Times New Roman"/>
          <w:sz w:val="24"/>
          <w:szCs w:val="24"/>
          <w:lang w:val="en-US"/>
        </w:rPr>
        <w:t xml:space="preserve"> </w:t>
      </w:r>
    </w:p>
    <w:p w14:paraId="0E4C7C52" w14:textId="77777777" w:rsidR="007A2BA4" w:rsidRDefault="007A2BA4" w:rsidP="00FA33BE">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Castillejos</w:t>
      </w:r>
      <w:proofErr w:type="spellEnd"/>
      <w:r>
        <w:rPr>
          <w:rFonts w:ascii="Times New Roman" w:hAnsi="Times New Roman" w:cs="Times New Roman"/>
          <w:sz w:val="24"/>
          <w:szCs w:val="24"/>
          <w:lang w:val="en-US"/>
        </w:rPr>
        <w:t xml:space="preserve"> Aragón, </w:t>
      </w:r>
      <w:proofErr w:type="spellStart"/>
      <w:r>
        <w:rPr>
          <w:rFonts w:ascii="Times New Roman" w:hAnsi="Times New Roman" w:cs="Times New Roman"/>
          <w:sz w:val="24"/>
          <w:szCs w:val="24"/>
          <w:lang w:val="en-US"/>
        </w:rPr>
        <w:t>Mónica</w:t>
      </w:r>
      <w:proofErr w:type="spellEnd"/>
      <w:r>
        <w:rPr>
          <w:rFonts w:ascii="Times New Roman" w:hAnsi="Times New Roman" w:cs="Times New Roman"/>
          <w:sz w:val="24"/>
          <w:szCs w:val="24"/>
          <w:lang w:val="en-US"/>
        </w:rPr>
        <w:t xml:space="preserve"> </w:t>
      </w:r>
    </w:p>
    <w:p w14:paraId="274A084B" w14:textId="77777777" w:rsidR="00760E33" w:rsidRPr="0013781B" w:rsidRDefault="007A2BA4" w:rsidP="00FA33BE">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2013</w:t>
      </w:r>
      <w:r w:rsidR="00760E33" w:rsidRPr="0013781B">
        <w:rPr>
          <w:rFonts w:ascii="Times New Roman" w:hAnsi="Times New Roman" w:cs="Times New Roman"/>
          <w:sz w:val="24"/>
          <w:szCs w:val="24"/>
          <w:lang w:val="en-US"/>
        </w:rPr>
        <w:t xml:space="preserve"> “The transformation of the Mexican Supreme Court”, en </w:t>
      </w:r>
      <w:proofErr w:type="spellStart"/>
      <w:r w:rsidR="00760E33" w:rsidRPr="0013781B">
        <w:rPr>
          <w:rFonts w:ascii="Times New Roman" w:hAnsi="Times New Roman" w:cs="Times New Roman"/>
          <w:sz w:val="24"/>
          <w:szCs w:val="24"/>
          <w:lang w:val="en-US"/>
        </w:rPr>
        <w:t>Kapiszeuski</w:t>
      </w:r>
      <w:proofErr w:type="spellEnd"/>
      <w:r w:rsidR="00760E33" w:rsidRPr="0013781B">
        <w:rPr>
          <w:rFonts w:ascii="Times New Roman" w:hAnsi="Times New Roman" w:cs="Times New Roman"/>
          <w:sz w:val="24"/>
          <w:szCs w:val="24"/>
          <w:lang w:val="en-US"/>
        </w:rPr>
        <w:t xml:space="preserve">, Silverstein y </w:t>
      </w:r>
      <w:proofErr w:type="spellStart"/>
      <w:r w:rsidR="00760E33" w:rsidRPr="0013781B">
        <w:rPr>
          <w:rFonts w:ascii="Times New Roman" w:hAnsi="Times New Roman" w:cs="Times New Roman"/>
          <w:sz w:val="24"/>
          <w:szCs w:val="24"/>
          <w:lang w:val="en-US"/>
        </w:rPr>
        <w:t>Kagan</w:t>
      </w:r>
      <w:proofErr w:type="spellEnd"/>
      <w:r w:rsidR="00760E33" w:rsidRPr="0013781B">
        <w:rPr>
          <w:rFonts w:ascii="Times New Roman" w:hAnsi="Times New Roman" w:cs="Times New Roman"/>
          <w:sz w:val="24"/>
          <w:szCs w:val="24"/>
          <w:lang w:val="en-US"/>
        </w:rPr>
        <w:t xml:space="preserve">, </w:t>
      </w:r>
      <w:r w:rsidR="00760E33" w:rsidRPr="0013781B">
        <w:rPr>
          <w:rFonts w:ascii="Times New Roman" w:hAnsi="Times New Roman" w:cs="Times New Roman"/>
          <w:i/>
          <w:sz w:val="24"/>
          <w:szCs w:val="24"/>
          <w:lang w:val="en-US"/>
        </w:rPr>
        <w:t xml:space="preserve">Consequential Courts: </w:t>
      </w:r>
      <w:proofErr w:type="spellStart"/>
      <w:r w:rsidR="00760E33" w:rsidRPr="0013781B">
        <w:rPr>
          <w:rFonts w:ascii="Times New Roman" w:hAnsi="Times New Roman" w:cs="Times New Roman"/>
          <w:i/>
          <w:sz w:val="24"/>
          <w:szCs w:val="24"/>
          <w:lang w:val="en-US"/>
        </w:rPr>
        <w:t>Juudicial</w:t>
      </w:r>
      <w:proofErr w:type="spellEnd"/>
      <w:r w:rsidR="00760E33" w:rsidRPr="0013781B">
        <w:rPr>
          <w:rFonts w:ascii="Times New Roman" w:hAnsi="Times New Roman" w:cs="Times New Roman"/>
          <w:i/>
          <w:sz w:val="24"/>
          <w:szCs w:val="24"/>
          <w:lang w:val="en-US"/>
        </w:rPr>
        <w:t xml:space="preserve"> Roles in Global Perspective</w:t>
      </w:r>
      <w:r w:rsidR="00760E33" w:rsidRPr="0013781B">
        <w:rPr>
          <w:rFonts w:ascii="Times New Roman" w:hAnsi="Times New Roman" w:cs="Times New Roman"/>
          <w:sz w:val="24"/>
          <w:szCs w:val="24"/>
          <w:lang w:val="en-US"/>
        </w:rPr>
        <w:t>, Cambridge University Press.</w:t>
      </w:r>
      <w:proofErr w:type="gramEnd"/>
    </w:p>
    <w:p w14:paraId="5E2CE90E" w14:textId="77777777" w:rsidR="007A2BA4" w:rsidRDefault="007E03A5"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Domingo, </w:t>
      </w:r>
      <w:proofErr w:type="spellStart"/>
      <w:r w:rsidRPr="0013781B">
        <w:rPr>
          <w:rFonts w:ascii="Times New Roman" w:hAnsi="Times New Roman" w:cs="Times New Roman"/>
          <w:sz w:val="24"/>
          <w:szCs w:val="24"/>
          <w:lang w:val="en-US"/>
        </w:rPr>
        <w:t>Pilar</w:t>
      </w:r>
      <w:proofErr w:type="spellEnd"/>
      <w:r w:rsidRPr="0013781B">
        <w:rPr>
          <w:rFonts w:ascii="Times New Roman" w:hAnsi="Times New Roman" w:cs="Times New Roman"/>
          <w:sz w:val="24"/>
          <w:szCs w:val="24"/>
          <w:lang w:val="en-US"/>
        </w:rPr>
        <w:t xml:space="preserve"> </w:t>
      </w:r>
    </w:p>
    <w:p w14:paraId="7BF5A6AF" w14:textId="77777777" w:rsidR="007E03A5" w:rsidRPr="00302E0A" w:rsidRDefault="007A2BA4" w:rsidP="00FA33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2004</w:t>
      </w:r>
      <w:r w:rsidR="007E03A5" w:rsidRPr="0013781B">
        <w:rPr>
          <w:rFonts w:ascii="Times New Roman" w:hAnsi="Times New Roman" w:cs="Times New Roman"/>
          <w:sz w:val="24"/>
          <w:szCs w:val="24"/>
          <w:lang w:val="en-US"/>
        </w:rPr>
        <w:t xml:space="preserve"> “</w:t>
      </w:r>
      <w:proofErr w:type="spellStart"/>
      <w:r w:rsidR="007E03A5" w:rsidRPr="0013781B">
        <w:rPr>
          <w:rFonts w:ascii="Times New Roman" w:hAnsi="Times New Roman" w:cs="Times New Roman"/>
          <w:sz w:val="24"/>
          <w:szCs w:val="24"/>
          <w:lang w:val="en-US"/>
        </w:rPr>
        <w:t>Judicialization</w:t>
      </w:r>
      <w:proofErr w:type="spellEnd"/>
      <w:r w:rsidR="007E03A5" w:rsidRPr="0013781B">
        <w:rPr>
          <w:rFonts w:ascii="Times New Roman" w:hAnsi="Times New Roman" w:cs="Times New Roman"/>
          <w:sz w:val="24"/>
          <w:szCs w:val="24"/>
          <w:lang w:val="en-US"/>
        </w:rPr>
        <w:t xml:space="preserve"> of politics or politicization of the judiciary</w:t>
      </w:r>
      <w:r w:rsidR="00760E33" w:rsidRPr="0013781B">
        <w:rPr>
          <w:rFonts w:ascii="Times New Roman" w:hAnsi="Times New Roman" w:cs="Times New Roman"/>
          <w:sz w:val="24"/>
          <w:szCs w:val="24"/>
          <w:lang w:val="en-US"/>
        </w:rPr>
        <w:t xml:space="preserve">? </w:t>
      </w:r>
      <w:proofErr w:type="gramStart"/>
      <w:r w:rsidR="00760E33" w:rsidRPr="00302E0A">
        <w:rPr>
          <w:rFonts w:ascii="Times New Roman" w:hAnsi="Times New Roman" w:cs="Times New Roman"/>
          <w:sz w:val="24"/>
          <w:szCs w:val="24"/>
          <w:lang w:val="en-US"/>
        </w:rPr>
        <w:t>R</w:t>
      </w:r>
      <w:r w:rsidR="007E03A5" w:rsidRPr="00302E0A">
        <w:rPr>
          <w:rFonts w:ascii="Times New Roman" w:hAnsi="Times New Roman" w:cs="Times New Roman"/>
          <w:sz w:val="24"/>
          <w:szCs w:val="24"/>
          <w:lang w:val="en-US"/>
        </w:rPr>
        <w:t xml:space="preserve">ecent trends in Latin America”, en </w:t>
      </w:r>
      <w:r w:rsidR="007E03A5" w:rsidRPr="00302E0A">
        <w:rPr>
          <w:rFonts w:ascii="Times New Roman" w:hAnsi="Times New Roman" w:cs="Times New Roman"/>
          <w:i/>
          <w:sz w:val="24"/>
          <w:szCs w:val="24"/>
          <w:lang w:val="en-US"/>
        </w:rPr>
        <w:t>Democratization</w:t>
      </w:r>
      <w:r w:rsidR="007E03A5" w:rsidRPr="00302E0A">
        <w:rPr>
          <w:rFonts w:ascii="Times New Roman" w:hAnsi="Times New Roman" w:cs="Times New Roman"/>
          <w:sz w:val="24"/>
          <w:szCs w:val="24"/>
          <w:lang w:val="en-US"/>
        </w:rPr>
        <w:t>, II (I), 104-126.</w:t>
      </w:r>
      <w:proofErr w:type="gramEnd"/>
      <w:r w:rsidR="007E03A5" w:rsidRPr="00302E0A">
        <w:rPr>
          <w:rFonts w:ascii="Times New Roman" w:hAnsi="Times New Roman" w:cs="Times New Roman"/>
          <w:sz w:val="24"/>
          <w:szCs w:val="24"/>
          <w:lang w:val="en-US"/>
        </w:rPr>
        <w:t xml:space="preserve"> </w:t>
      </w:r>
    </w:p>
    <w:p w14:paraId="1A08774C" w14:textId="77777777" w:rsidR="007A2BA4" w:rsidRPr="00302E0A" w:rsidRDefault="00B74854" w:rsidP="00FA33BE">
      <w:pPr>
        <w:spacing w:line="240" w:lineRule="auto"/>
        <w:jc w:val="both"/>
        <w:rPr>
          <w:rFonts w:ascii="Times New Roman" w:hAnsi="Times New Roman" w:cs="Times New Roman"/>
          <w:sz w:val="24"/>
          <w:szCs w:val="24"/>
          <w:lang w:val="en-US"/>
        </w:rPr>
      </w:pPr>
      <w:r w:rsidRPr="00302E0A">
        <w:rPr>
          <w:rFonts w:ascii="Times New Roman" w:hAnsi="Times New Roman" w:cs="Times New Roman"/>
          <w:sz w:val="24"/>
          <w:szCs w:val="24"/>
          <w:lang w:val="en-US"/>
        </w:rPr>
        <w:t xml:space="preserve">Duce, J. Mauricio </w:t>
      </w:r>
    </w:p>
    <w:p w14:paraId="51D54B7E" w14:textId="77777777" w:rsidR="00B74854" w:rsidRPr="0013781B" w:rsidRDefault="00B74854"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 xml:space="preserve">2004 “La reforma procesal penal en Chile: gestación y estado de </w:t>
      </w:r>
      <w:r w:rsidR="007C2964" w:rsidRPr="0013781B">
        <w:rPr>
          <w:rFonts w:ascii="Times New Roman" w:hAnsi="Times New Roman" w:cs="Times New Roman"/>
          <w:sz w:val="24"/>
          <w:szCs w:val="24"/>
        </w:rPr>
        <w:t xml:space="preserve">avance de un proceso de transformación en marcha”, </w:t>
      </w:r>
      <w:r w:rsidR="00B27D06" w:rsidRPr="0013781B">
        <w:rPr>
          <w:rFonts w:ascii="Times New Roman" w:hAnsi="Times New Roman" w:cs="Times New Roman"/>
          <w:sz w:val="24"/>
          <w:szCs w:val="24"/>
        </w:rPr>
        <w:t xml:space="preserve">en Pasara, Luis, (comp.), </w:t>
      </w:r>
      <w:r w:rsidR="00B27D06" w:rsidRPr="0013781B">
        <w:rPr>
          <w:rFonts w:ascii="Times New Roman" w:hAnsi="Times New Roman" w:cs="Times New Roman"/>
          <w:i/>
          <w:sz w:val="24"/>
          <w:szCs w:val="24"/>
        </w:rPr>
        <w:t>En busca de una justicia distinta: experiencias de reforma en América Latina”</w:t>
      </w:r>
      <w:r w:rsidR="00B27D06" w:rsidRPr="0013781B">
        <w:rPr>
          <w:rFonts w:ascii="Times New Roman" w:hAnsi="Times New Roman" w:cs="Times New Roman"/>
          <w:sz w:val="24"/>
          <w:szCs w:val="24"/>
        </w:rPr>
        <w:t>,  UNAM, IIJ.</w:t>
      </w:r>
    </w:p>
    <w:p w14:paraId="7EBDF30B" w14:textId="77777777" w:rsidR="007A2BA4" w:rsidRDefault="005247EA"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Eisanstadt</w:t>
      </w:r>
      <w:proofErr w:type="spellEnd"/>
      <w:r w:rsidR="00A26C00" w:rsidRPr="0013781B">
        <w:rPr>
          <w:rFonts w:ascii="Times New Roman" w:hAnsi="Times New Roman" w:cs="Times New Roman"/>
          <w:sz w:val="24"/>
          <w:szCs w:val="24"/>
          <w:lang w:val="en-US"/>
        </w:rPr>
        <w:t xml:space="preserve">, Todd </w:t>
      </w:r>
    </w:p>
    <w:p w14:paraId="5821D7C5" w14:textId="77777777" w:rsidR="005247EA" w:rsidRPr="0013781B" w:rsidRDefault="00A26C00"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2006 “Mexico’s </w:t>
      </w:r>
      <w:proofErr w:type="spellStart"/>
      <w:r w:rsidRPr="0013781B">
        <w:rPr>
          <w:rFonts w:ascii="Times New Roman" w:hAnsi="Times New Roman" w:cs="Times New Roman"/>
          <w:sz w:val="24"/>
          <w:szCs w:val="24"/>
          <w:lang w:val="en-US"/>
        </w:rPr>
        <w:t>postectoral</w:t>
      </w:r>
      <w:proofErr w:type="spellEnd"/>
      <w:r w:rsidR="005247EA" w:rsidRPr="0013781B">
        <w:rPr>
          <w:rFonts w:ascii="Times New Roman" w:hAnsi="Times New Roman" w:cs="Times New Roman"/>
          <w:sz w:val="24"/>
          <w:szCs w:val="24"/>
          <w:lang w:val="en-US"/>
        </w:rPr>
        <w:t xml:space="preserve"> </w:t>
      </w:r>
      <w:proofErr w:type="spellStart"/>
      <w:r w:rsidRPr="0013781B">
        <w:rPr>
          <w:rFonts w:ascii="Times New Roman" w:hAnsi="Times New Roman" w:cs="Times New Roman"/>
          <w:i/>
          <w:sz w:val="24"/>
          <w:szCs w:val="24"/>
          <w:lang w:val="en-US"/>
        </w:rPr>
        <w:t>concertaceciones</w:t>
      </w:r>
      <w:proofErr w:type="spellEnd"/>
      <w:r w:rsidRPr="0013781B">
        <w:rPr>
          <w:rFonts w:ascii="Times New Roman" w:hAnsi="Times New Roman" w:cs="Times New Roman"/>
          <w:sz w:val="24"/>
          <w:szCs w:val="24"/>
          <w:lang w:val="en-US"/>
        </w:rPr>
        <w:t xml:space="preserve">: the rise and demise of a substitutive informal institution”, en </w:t>
      </w:r>
      <w:proofErr w:type="spellStart"/>
      <w:r w:rsidRPr="0013781B">
        <w:rPr>
          <w:rFonts w:ascii="Times New Roman" w:hAnsi="Times New Roman" w:cs="Times New Roman"/>
          <w:sz w:val="24"/>
          <w:szCs w:val="24"/>
          <w:lang w:val="en-US"/>
        </w:rPr>
        <w:t>Helmke</w:t>
      </w:r>
      <w:proofErr w:type="spellEnd"/>
      <w:r w:rsidRPr="0013781B">
        <w:rPr>
          <w:rFonts w:ascii="Times New Roman" w:hAnsi="Times New Roman" w:cs="Times New Roman"/>
          <w:sz w:val="24"/>
          <w:szCs w:val="24"/>
          <w:lang w:val="en-US"/>
        </w:rPr>
        <w:t xml:space="preserve"> y </w:t>
      </w:r>
      <w:proofErr w:type="spellStart"/>
      <w:r w:rsidRPr="0013781B">
        <w:rPr>
          <w:rFonts w:ascii="Times New Roman" w:hAnsi="Times New Roman" w:cs="Times New Roman"/>
          <w:sz w:val="24"/>
          <w:szCs w:val="24"/>
          <w:lang w:val="en-US"/>
        </w:rPr>
        <w:t>Levitsky</w:t>
      </w:r>
      <w:proofErr w:type="spellEnd"/>
      <w:r w:rsidRPr="0013781B">
        <w:rPr>
          <w:rFonts w:ascii="Times New Roman" w:hAnsi="Times New Roman" w:cs="Times New Roman"/>
          <w:sz w:val="24"/>
          <w:szCs w:val="24"/>
          <w:lang w:val="en-US"/>
        </w:rPr>
        <w:t xml:space="preserve"> (eds.), </w:t>
      </w:r>
      <w:r w:rsidRPr="0013781B">
        <w:rPr>
          <w:rFonts w:ascii="Times New Roman" w:hAnsi="Times New Roman" w:cs="Times New Roman"/>
          <w:i/>
          <w:sz w:val="24"/>
          <w:szCs w:val="24"/>
          <w:lang w:val="en-US"/>
        </w:rPr>
        <w:t>Informal Institutions and Democracy</w:t>
      </w:r>
      <w:r w:rsidRPr="0013781B">
        <w:rPr>
          <w:rFonts w:ascii="Times New Roman" w:hAnsi="Times New Roman" w:cs="Times New Roman"/>
          <w:sz w:val="24"/>
          <w:szCs w:val="24"/>
          <w:lang w:val="en-US"/>
        </w:rPr>
        <w:t>, The Johns Hopkins University Press.</w:t>
      </w:r>
    </w:p>
    <w:p w14:paraId="255F7443" w14:textId="77777777" w:rsidR="007A2BA4" w:rsidRDefault="00AF34F6"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Fix Fierro, Héctor</w:t>
      </w:r>
    </w:p>
    <w:p w14:paraId="59FC040E" w14:textId="77777777" w:rsidR="005435A1" w:rsidRPr="0013781B" w:rsidRDefault="00AF34F6"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 xml:space="preserve">2004 “La reforma en México: entre la eficacia autoritaria y la incertidumbre democrática”, en Pasara, Luis (comp.), </w:t>
      </w:r>
      <w:r w:rsidRPr="0013781B">
        <w:rPr>
          <w:rFonts w:ascii="Times New Roman" w:hAnsi="Times New Roman" w:cs="Times New Roman"/>
          <w:i/>
          <w:sz w:val="24"/>
          <w:szCs w:val="24"/>
        </w:rPr>
        <w:t>En busca de una justicia distinta: experiencias de reforma en América Latina”</w:t>
      </w:r>
      <w:r w:rsidRPr="0013781B">
        <w:rPr>
          <w:rFonts w:ascii="Times New Roman" w:hAnsi="Times New Roman" w:cs="Times New Roman"/>
          <w:sz w:val="24"/>
          <w:szCs w:val="24"/>
        </w:rPr>
        <w:t>,  UNAM, IIJ.</w:t>
      </w:r>
    </w:p>
    <w:p w14:paraId="3434857F" w14:textId="77777777" w:rsidR="007A2BA4" w:rsidRDefault="005435A1"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Garretón</w:t>
      </w:r>
      <w:r w:rsidR="007A2BA4">
        <w:rPr>
          <w:rFonts w:ascii="Times New Roman" w:hAnsi="Times New Roman" w:cs="Times New Roman"/>
          <w:sz w:val="24"/>
          <w:szCs w:val="24"/>
        </w:rPr>
        <w:t>, Manuel Antonio</w:t>
      </w:r>
      <w:r w:rsidRPr="0013781B">
        <w:rPr>
          <w:rFonts w:ascii="Times New Roman" w:hAnsi="Times New Roman" w:cs="Times New Roman"/>
          <w:sz w:val="24"/>
          <w:szCs w:val="24"/>
        </w:rPr>
        <w:t xml:space="preserve"> </w:t>
      </w:r>
    </w:p>
    <w:p w14:paraId="5DF22F01" w14:textId="77777777" w:rsidR="005435A1" w:rsidRPr="0038511D" w:rsidRDefault="005435A1"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 xml:space="preserve">1989 </w:t>
      </w:r>
      <w:r w:rsidR="0038511D">
        <w:rPr>
          <w:rFonts w:ascii="Times New Roman" w:hAnsi="Times New Roman" w:cs="Times New Roman"/>
          <w:sz w:val="24"/>
          <w:szCs w:val="24"/>
        </w:rPr>
        <w:t xml:space="preserve">“La posibilidad democrática en Chile”, FLACSO, Santiago, </w:t>
      </w:r>
      <w:r w:rsidR="0038511D">
        <w:rPr>
          <w:rFonts w:ascii="Times New Roman" w:hAnsi="Times New Roman" w:cs="Times New Roman"/>
          <w:i/>
          <w:sz w:val="24"/>
          <w:szCs w:val="24"/>
        </w:rPr>
        <w:t>Cuadernos de Difusión</w:t>
      </w:r>
      <w:r w:rsidR="0038511D">
        <w:rPr>
          <w:rFonts w:ascii="Times New Roman" w:hAnsi="Times New Roman" w:cs="Times New Roman"/>
          <w:sz w:val="24"/>
          <w:szCs w:val="24"/>
        </w:rPr>
        <w:t>.</w:t>
      </w:r>
    </w:p>
    <w:p w14:paraId="2F021959" w14:textId="77777777" w:rsidR="007A2BA4" w:rsidRDefault="005435A1" w:rsidP="00FA33BE">
      <w:pPr>
        <w:spacing w:line="240" w:lineRule="auto"/>
        <w:rPr>
          <w:rFonts w:ascii="Times New Roman" w:hAnsi="Times New Roman" w:cs="Times New Roman"/>
          <w:sz w:val="24"/>
          <w:szCs w:val="24"/>
        </w:rPr>
      </w:pPr>
      <w:r w:rsidRPr="0013781B">
        <w:rPr>
          <w:rFonts w:ascii="Times New Roman" w:hAnsi="Times New Roman" w:cs="Times New Roman"/>
          <w:sz w:val="24"/>
          <w:szCs w:val="24"/>
        </w:rPr>
        <w:t>Garretón</w:t>
      </w:r>
      <w:r w:rsidR="007A2BA4">
        <w:rPr>
          <w:rFonts w:ascii="Times New Roman" w:hAnsi="Times New Roman" w:cs="Times New Roman"/>
          <w:sz w:val="24"/>
          <w:szCs w:val="24"/>
        </w:rPr>
        <w:t>, Manuel Antonio</w:t>
      </w:r>
    </w:p>
    <w:p w14:paraId="7E9338F4" w14:textId="77777777" w:rsidR="00994A0A" w:rsidRPr="0013781B" w:rsidRDefault="005435A1" w:rsidP="00FA33BE">
      <w:pPr>
        <w:spacing w:line="240" w:lineRule="auto"/>
        <w:rPr>
          <w:rFonts w:ascii="Times New Roman" w:hAnsi="Times New Roman" w:cs="Times New Roman"/>
          <w:sz w:val="24"/>
          <w:szCs w:val="24"/>
        </w:rPr>
      </w:pPr>
      <w:r w:rsidRPr="0013781B">
        <w:rPr>
          <w:rFonts w:ascii="Times New Roman" w:hAnsi="Times New Roman" w:cs="Times New Roman"/>
          <w:sz w:val="24"/>
          <w:szCs w:val="24"/>
        </w:rPr>
        <w:t>2002</w:t>
      </w:r>
      <w:r w:rsidR="00994A0A" w:rsidRPr="0013781B">
        <w:rPr>
          <w:rFonts w:ascii="Times New Roman" w:hAnsi="Times New Roman" w:cs="Times New Roman"/>
          <w:sz w:val="24"/>
          <w:szCs w:val="24"/>
        </w:rPr>
        <w:t xml:space="preserve"> “La (in)conducción política del segundo gobierno democrático”,  en</w:t>
      </w:r>
      <w:r w:rsidR="00A26C00" w:rsidRPr="0013781B">
        <w:rPr>
          <w:rFonts w:ascii="Times New Roman" w:hAnsi="Times New Roman" w:cs="Times New Roman"/>
          <w:sz w:val="24"/>
          <w:szCs w:val="24"/>
        </w:rPr>
        <w:t xml:space="preserve"> Oscar Muñoz y Stefoni, coords.</w:t>
      </w:r>
      <w:r w:rsidR="00994A0A" w:rsidRPr="0013781B">
        <w:rPr>
          <w:rFonts w:ascii="Times New Roman" w:hAnsi="Times New Roman" w:cs="Times New Roman"/>
          <w:sz w:val="24"/>
          <w:szCs w:val="24"/>
        </w:rPr>
        <w:t xml:space="preserve"> </w:t>
      </w:r>
      <w:r w:rsidR="00994A0A" w:rsidRPr="0013781B">
        <w:rPr>
          <w:rFonts w:ascii="Times New Roman" w:hAnsi="Times New Roman" w:cs="Times New Roman"/>
          <w:i/>
          <w:sz w:val="24"/>
          <w:szCs w:val="24"/>
        </w:rPr>
        <w:t>El Periodo del presidente Frei Ruiz-Tagle</w:t>
      </w:r>
      <w:r w:rsidR="00994A0A" w:rsidRPr="0013781B">
        <w:rPr>
          <w:rFonts w:ascii="Times New Roman" w:hAnsi="Times New Roman" w:cs="Times New Roman"/>
          <w:sz w:val="24"/>
          <w:szCs w:val="24"/>
        </w:rPr>
        <w:t>,  FLACSO, Editorial Universitaria.</w:t>
      </w:r>
    </w:p>
    <w:p w14:paraId="70FCEFBC" w14:textId="77777777" w:rsidR="007A2BA4" w:rsidRDefault="000D4068"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lastRenderedPageBreak/>
        <w:t>Garoupa</w:t>
      </w:r>
      <w:proofErr w:type="spellEnd"/>
      <w:r w:rsidRPr="0013781B">
        <w:rPr>
          <w:rFonts w:ascii="Times New Roman" w:hAnsi="Times New Roman" w:cs="Times New Roman"/>
          <w:sz w:val="24"/>
          <w:szCs w:val="24"/>
          <w:lang w:val="en-US"/>
        </w:rPr>
        <w:t xml:space="preserve"> y </w:t>
      </w:r>
      <w:proofErr w:type="spellStart"/>
      <w:r w:rsidRPr="0013781B">
        <w:rPr>
          <w:rFonts w:ascii="Times New Roman" w:hAnsi="Times New Roman" w:cs="Times New Roman"/>
          <w:sz w:val="24"/>
          <w:szCs w:val="24"/>
          <w:lang w:val="en-US"/>
        </w:rPr>
        <w:t>Ginsbourg</w:t>
      </w:r>
      <w:proofErr w:type="spellEnd"/>
    </w:p>
    <w:p w14:paraId="3285EC52" w14:textId="77777777" w:rsidR="000D4068" w:rsidRPr="0013781B" w:rsidRDefault="000D4068"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2008 “Guarding the guardians: judicial councils and judicial independence”, U. of Chicago Law and Economics, Olin Working Paper No. 444.</w:t>
      </w:r>
    </w:p>
    <w:p w14:paraId="56C7C45A" w14:textId="77777777" w:rsidR="007A2BA4" w:rsidRDefault="006B5E76"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Hagopian, Frances</w:t>
      </w:r>
    </w:p>
    <w:p w14:paraId="48C4A43C" w14:textId="77777777" w:rsidR="006B5E76" w:rsidRPr="0013781B" w:rsidRDefault="006B5E76"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 xml:space="preserve">2005 “Derechos, representación y la creciente calidad de la democracia en Brasil y Chile”, en </w:t>
      </w:r>
      <w:r w:rsidRPr="0013781B">
        <w:rPr>
          <w:rFonts w:ascii="Times New Roman" w:hAnsi="Times New Roman" w:cs="Times New Roman"/>
          <w:i/>
          <w:sz w:val="24"/>
          <w:szCs w:val="24"/>
        </w:rPr>
        <w:t>Política y Gobierno</w:t>
      </w:r>
      <w:r w:rsidRPr="0013781B">
        <w:rPr>
          <w:rFonts w:ascii="Times New Roman" w:hAnsi="Times New Roman" w:cs="Times New Roman"/>
          <w:sz w:val="24"/>
          <w:szCs w:val="24"/>
        </w:rPr>
        <w:t>, vol., XII, núm. 1, 2005.</w:t>
      </w:r>
    </w:p>
    <w:p w14:paraId="3ADD6F15" w14:textId="77777777" w:rsidR="007A2BA4" w:rsidRPr="00302E0A" w:rsidRDefault="005435A1" w:rsidP="00FA33BE">
      <w:pPr>
        <w:spacing w:line="240" w:lineRule="auto"/>
        <w:jc w:val="both"/>
        <w:rPr>
          <w:rFonts w:ascii="Times New Roman" w:hAnsi="Times New Roman" w:cs="Times New Roman"/>
          <w:sz w:val="24"/>
          <w:szCs w:val="24"/>
        </w:rPr>
      </w:pPr>
      <w:r w:rsidRPr="00302E0A">
        <w:rPr>
          <w:rFonts w:ascii="Times New Roman" w:hAnsi="Times New Roman" w:cs="Times New Roman"/>
          <w:sz w:val="24"/>
          <w:szCs w:val="24"/>
        </w:rPr>
        <w:t>Holzner, Claudio</w:t>
      </w:r>
    </w:p>
    <w:p w14:paraId="5BFB57F0" w14:textId="77777777" w:rsidR="005435A1" w:rsidRPr="00302E0A" w:rsidRDefault="005435A1" w:rsidP="00FA33BE">
      <w:pPr>
        <w:spacing w:line="240" w:lineRule="auto"/>
        <w:jc w:val="both"/>
        <w:rPr>
          <w:rFonts w:ascii="Times New Roman" w:hAnsi="Times New Roman" w:cs="Times New Roman"/>
          <w:sz w:val="24"/>
          <w:szCs w:val="24"/>
        </w:rPr>
      </w:pPr>
      <w:r w:rsidRPr="00302E0A">
        <w:rPr>
          <w:rFonts w:ascii="Times New Roman" w:hAnsi="Times New Roman" w:cs="Times New Roman"/>
          <w:sz w:val="24"/>
          <w:szCs w:val="24"/>
        </w:rPr>
        <w:t>2011 “Mexico: weak state, weak democracy”, en Levine y Molina.</w:t>
      </w:r>
    </w:p>
    <w:p w14:paraId="54696DD3" w14:textId="77777777" w:rsidR="007A2BA4" w:rsidRPr="00302E0A" w:rsidRDefault="00687542" w:rsidP="00FA33BE">
      <w:pPr>
        <w:spacing w:line="240" w:lineRule="auto"/>
        <w:jc w:val="both"/>
        <w:rPr>
          <w:rFonts w:ascii="Times New Roman" w:hAnsi="Times New Roman" w:cs="Times New Roman"/>
          <w:sz w:val="24"/>
          <w:szCs w:val="24"/>
        </w:rPr>
      </w:pPr>
      <w:r w:rsidRPr="00302E0A">
        <w:rPr>
          <w:rFonts w:ascii="Times New Roman" w:hAnsi="Times New Roman" w:cs="Times New Roman"/>
          <w:sz w:val="24"/>
          <w:szCs w:val="24"/>
        </w:rPr>
        <w:t xml:space="preserve">Levine y Molina </w:t>
      </w:r>
    </w:p>
    <w:p w14:paraId="6BA7171C" w14:textId="77777777" w:rsidR="00687542" w:rsidRPr="00687542" w:rsidRDefault="00687542" w:rsidP="00FA33BE">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2011</w:t>
      </w:r>
      <w:r w:rsidR="007A2B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“Evaluating the quality of democracy in Latin America”, en Levine y Molina (eds.), </w:t>
      </w:r>
      <w:r>
        <w:rPr>
          <w:rFonts w:ascii="Times New Roman" w:hAnsi="Times New Roman" w:cs="Times New Roman"/>
          <w:i/>
          <w:sz w:val="24"/>
          <w:szCs w:val="24"/>
          <w:lang w:val="en-US"/>
        </w:rPr>
        <w:t>The quality of democracy in Latin America</w:t>
      </w:r>
      <w:r>
        <w:rPr>
          <w:rFonts w:ascii="Times New Roman" w:hAnsi="Times New Roman" w:cs="Times New Roman"/>
          <w:sz w:val="24"/>
          <w:szCs w:val="24"/>
          <w:lang w:val="en-US"/>
        </w:rPr>
        <w:t xml:space="preserve">, Lynne </w:t>
      </w:r>
      <w:proofErr w:type="spellStart"/>
      <w:r>
        <w:rPr>
          <w:rFonts w:ascii="Times New Roman" w:hAnsi="Times New Roman" w:cs="Times New Roman"/>
          <w:sz w:val="24"/>
          <w:szCs w:val="24"/>
          <w:lang w:val="en-US"/>
        </w:rPr>
        <w:t>Rienner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Publiser</w:t>
      </w:r>
      <w:proofErr w:type="spellEnd"/>
      <w:r>
        <w:rPr>
          <w:rFonts w:ascii="Times New Roman" w:hAnsi="Times New Roman" w:cs="Times New Roman"/>
          <w:sz w:val="24"/>
          <w:szCs w:val="24"/>
          <w:lang w:val="en-US"/>
        </w:rPr>
        <w:t>, Boulder.</w:t>
      </w:r>
      <w:proofErr w:type="gramEnd"/>
    </w:p>
    <w:p w14:paraId="042E76C0" w14:textId="77777777" w:rsidR="007D62AC" w:rsidRDefault="0038511D" w:rsidP="00FA33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Linz y </w:t>
      </w:r>
      <w:proofErr w:type="spellStart"/>
      <w:r>
        <w:rPr>
          <w:rFonts w:ascii="Times New Roman" w:hAnsi="Times New Roman" w:cs="Times New Roman"/>
          <w:sz w:val="24"/>
          <w:szCs w:val="24"/>
          <w:lang w:val="en-US"/>
        </w:rPr>
        <w:t>Stepan</w:t>
      </w:r>
      <w:proofErr w:type="spellEnd"/>
      <w:r>
        <w:rPr>
          <w:rFonts w:ascii="Times New Roman" w:hAnsi="Times New Roman" w:cs="Times New Roman"/>
          <w:sz w:val="24"/>
          <w:szCs w:val="24"/>
          <w:lang w:val="en-US"/>
        </w:rPr>
        <w:t xml:space="preserve"> </w:t>
      </w:r>
    </w:p>
    <w:p w14:paraId="058E54AF" w14:textId="77777777" w:rsidR="00994A0A" w:rsidRPr="0013781B" w:rsidRDefault="0038511D" w:rsidP="00FA33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199</w:t>
      </w:r>
      <w:r w:rsidR="00994A0A" w:rsidRPr="0013781B">
        <w:rPr>
          <w:rFonts w:ascii="Times New Roman" w:hAnsi="Times New Roman" w:cs="Times New Roman"/>
          <w:sz w:val="24"/>
          <w:szCs w:val="24"/>
          <w:lang w:val="en-US"/>
        </w:rPr>
        <w:t>6</w:t>
      </w:r>
      <w:r w:rsidR="005247EA" w:rsidRPr="0013781B">
        <w:rPr>
          <w:rFonts w:ascii="Times New Roman" w:hAnsi="Times New Roman" w:cs="Times New Roman"/>
          <w:sz w:val="24"/>
          <w:szCs w:val="24"/>
          <w:lang w:val="en-US"/>
        </w:rPr>
        <w:t xml:space="preserve"> </w:t>
      </w:r>
      <w:r w:rsidR="005247EA" w:rsidRPr="0013781B">
        <w:rPr>
          <w:rFonts w:ascii="Times New Roman" w:hAnsi="Times New Roman" w:cs="Times New Roman"/>
          <w:i/>
          <w:sz w:val="24"/>
          <w:szCs w:val="24"/>
          <w:lang w:val="en-US"/>
        </w:rPr>
        <w:t>Problems of democratic transition and consolidation: Southern Europe, South America, and Post-Communist Europe</w:t>
      </w:r>
      <w:r w:rsidR="005247EA" w:rsidRPr="0013781B">
        <w:rPr>
          <w:rFonts w:ascii="Times New Roman" w:hAnsi="Times New Roman" w:cs="Times New Roman"/>
          <w:sz w:val="24"/>
          <w:szCs w:val="24"/>
          <w:lang w:val="en-US"/>
        </w:rPr>
        <w:t>, The Johns Hopkins University Press, Baltimore.</w:t>
      </w:r>
      <w:r w:rsidR="00994A0A" w:rsidRPr="0013781B">
        <w:rPr>
          <w:rFonts w:ascii="Times New Roman" w:hAnsi="Times New Roman" w:cs="Times New Roman"/>
          <w:sz w:val="24"/>
          <w:szCs w:val="24"/>
          <w:lang w:val="en-US"/>
        </w:rPr>
        <w:t xml:space="preserve"> </w:t>
      </w:r>
    </w:p>
    <w:p w14:paraId="40536224" w14:textId="77777777" w:rsidR="007D62AC" w:rsidRDefault="00FD5B69"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Mahoney, James y Kathleen </w:t>
      </w:r>
      <w:proofErr w:type="spellStart"/>
      <w:r w:rsidRPr="0013781B">
        <w:rPr>
          <w:rFonts w:ascii="Times New Roman" w:hAnsi="Times New Roman" w:cs="Times New Roman"/>
          <w:sz w:val="24"/>
          <w:szCs w:val="24"/>
          <w:lang w:val="en-US"/>
        </w:rPr>
        <w:t>Thelen</w:t>
      </w:r>
      <w:proofErr w:type="spellEnd"/>
      <w:r w:rsidRPr="0013781B">
        <w:rPr>
          <w:rFonts w:ascii="Times New Roman" w:hAnsi="Times New Roman" w:cs="Times New Roman"/>
          <w:sz w:val="24"/>
          <w:szCs w:val="24"/>
          <w:lang w:val="en-US"/>
        </w:rPr>
        <w:t xml:space="preserve"> </w:t>
      </w:r>
    </w:p>
    <w:p w14:paraId="59E8CB21" w14:textId="77777777" w:rsidR="00FD5B69" w:rsidRPr="0013781B" w:rsidRDefault="00FD5B69"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2010 “A theory of gradual institutional change”, en James Mahoney y Kathleen </w:t>
      </w:r>
      <w:proofErr w:type="spellStart"/>
      <w:r w:rsidRPr="0013781B">
        <w:rPr>
          <w:rFonts w:ascii="Times New Roman" w:hAnsi="Times New Roman" w:cs="Times New Roman"/>
          <w:sz w:val="24"/>
          <w:szCs w:val="24"/>
          <w:lang w:val="en-US"/>
        </w:rPr>
        <w:t>Thelen</w:t>
      </w:r>
      <w:proofErr w:type="spellEnd"/>
      <w:r w:rsidRPr="0013781B">
        <w:rPr>
          <w:rFonts w:ascii="Times New Roman" w:hAnsi="Times New Roman" w:cs="Times New Roman"/>
          <w:sz w:val="24"/>
          <w:szCs w:val="24"/>
          <w:lang w:val="en-US"/>
        </w:rPr>
        <w:t xml:space="preserve"> (eds.), E</w:t>
      </w:r>
      <w:r w:rsidRPr="0013781B">
        <w:rPr>
          <w:rFonts w:ascii="Times New Roman" w:hAnsi="Times New Roman" w:cs="Times New Roman"/>
          <w:i/>
          <w:sz w:val="24"/>
          <w:szCs w:val="24"/>
          <w:lang w:val="en-US"/>
        </w:rPr>
        <w:t>xplaining institutional change: ambiguity, agency and power</w:t>
      </w:r>
      <w:r w:rsidRPr="0013781B">
        <w:rPr>
          <w:rFonts w:ascii="Times New Roman" w:hAnsi="Times New Roman" w:cs="Times New Roman"/>
          <w:sz w:val="24"/>
          <w:szCs w:val="24"/>
          <w:lang w:val="en-US"/>
        </w:rPr>
        <w:t>, Cambridge, Cambridge University Press, pp. 1-37.</w:t>
      </w:r>
    </w:p>
    <w:p w14:paraId="52C598D7" w14:textId="77777777" w:rsidR="007D62AC" w:rsidRDefault="006A1218"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Magaloni</w:t>
      </w:r>
      <w:proofErr w:type="spellEnd"/>
      <w:r w:rsidRPr="0013781B">
        <w:rPr>
          <w:rFonts w:ascii="Times New Roman" w:hAnsi="Times New Roman" w:cs="Times New Roman"/>
          <w:sz w:val="24"/>
          <w:szCs w:val="24"/>
          <w:lang w:val="en-US"/>
        </w:rPr>
        <w:t xml:space="preserve">, Beatriz </w:t>
      </w:r>
    </w:p>
    <w:p w14:paraId="01854082" w14:textId="77777777" w:rsidR="006A1218" w:rsidRPr="0013781B" w:rsidRDefault="006A1218"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2003 “Authoritarianism, democracy and the Supreme Court: horizontal exchange and the rule of law in Mexico”, en Mainwaring y </w:t>
      </w:r>
      <w:proofErr w:type="spellStart"/>
      <w:r w:rsidRPr="0013781B">
        <w:rPr>
          <w:rFonts w:ascii="Times New Roman" w:hAnsi="Times New Roman" w:cs="Times New Roman"/>
          <w:sz w:val="24"/>
          <w:szCs w:val="24"/>
          <w:lang w:val="en-US"/>
        </w:rPr>
        <w:t>Welna</w:t>
      </w:r>
      <w:proofErr w:type="spellEnd"/>
      <w:r w:rsidRPr="0013781B">
        <w:rPr>
          <w:rFonts w:ascii="Times New Roman" w:hAnsi="Times New Roman" w:cs="Times New Roman"/>
          <w:sz w:val="24"/>
          <w:szCs w:val="24"/>
          <w:lang w:val="en-US"/>
        </w:rPr>
        <w:t xml:space="preserve">, </w:t>
      </w:r>
      <w:r w:rsidRPr="0013781B">
        <w:rPr>
          <w:rFonts w:ascii="Times New Roman" w:hAnsi="Times New Roman" w:cs="Times New Roman"/>
          <w:i/>
          <w:sz w:val="24"/>
          <w:szCs w:val="24"/>
          <w:lang w:val="en-US"/>
        </w:rPr>
        <w:t>Democratic accountability in Mexico</w:t>
      </w:r>
      <w:r w:rsidRPr="0013781B">
        <w:rPr>
          <w:rFonts w:ascii="Times New Roman" w:hAnsi="Times New Roman" w:cs="Times New Roman"/>
          <w:sz w:val="24"/>
          <w:szCs w:val="24"/>
          <w:lang w:val="en-US"/>
        </w:rPr>
        <w:t>, Oxford University Press.</w:t>
      </w:r>
    </w:p>
    <w:p w14:paraId="70086AE1" w14:textId="77777777" w:rsidR="007D62AC" w:rsidRDefault="005435A1"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Mazzuca</w:t>
      </w:r>
      <w:proofErr w:type="spellEnd"/>
      <w:r w:rsidRPr="0013781B">
        <w:rPr>
          <w:rFonts w:ascii="Times New Roman" w:hAnsi="Times New Roman" w:cs="Times New Roman"/>
          <w:sz w:val="24"/>
          <w:szCs w:val="24"/>
          <w:lang w:val="en-US"/>
        </w:rPr>
        <w:t xml:space="preserve">, </w:t>
      </w:r>
      <w:proofErr w:type="spellStart"/>
      <w:r w:rsidRPr="0013781B">
        <w:rPr>
          <w:rFonts w:ascii="Times New Roman" w:hAnsi="Times New Roman" w:cs="Times New Roman"/>
          <w:sz w:val="24"/>
          <w:szCs w:val="24"/>
          <w:lang w:val="en-US"/>
        </w:rPr>
        <w:t>Sebastián</w:t>
      </w:r>
      <w:proofErr w:type="spellEnd"/>
    </w:p>
    <w:p w14:paraId="0DF927AA" w14:textId="77777777" w:rsidR="005435A1" w:rsidRPr="0013781B" w:rsidRDefault="005435A1"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2010 “Access to power </w:t>
      </w:r>
      <w:r w:rsidRPr="0013781B">
        <w:rPr>
          <w:rFonts w:ascii="Times New Roman" w:hAnsi="Times New Roman" w:cs="Times New Roman"/>
          <w:i/>
          <w:sz w:val="24"/>
          <w:szCs w:val="24"/>
          <w:lang w:val="en-US"/>
        </w:rPr>
        <w:t>vs.</w:t>
      </w:r>
      <w:r w:rsidRPr="0013781B">
        <w:rPr>
          <w:rFonts w:ascii="Times New Roman" w:hAnsi="Times New Roman" w:cs="Times New Roman"/>
          <w:sz w:val="24"/>
          <w:szCs w:val="24"/>
          <w:lang w:val="en-US"/>
        </w:rPr>
        <w:t xml:space="preserve"> exercise of power. </w:t>
      </w:r>
      <w:proofErr w:type="spellStart"/>
      <w:r w:rsidRPr="0013781B">
        <w:rPr>
          <w:rFonts w:ascii="Times New Roman" w:hAnsi="Times New Roman" w:cs="Times New Roman"/>
          <w:sz w:val="24"/>
          <w:szCs w:val="24"/>
          <w:lang w:val="en-US"/>
        </w:rPr>
        <w:t>Reconceptualizing</w:t>
      </w:r>
      <w:proofErr w:type="spellEnd"/>
      <w:r w:rsidRPr="0013781B">
        <w:rPr>
          <w:rFonts w:ascii="Times New Roman" w:hAnsi="Times New Roman" w:cs="Times New Roman"/>
          <w:sz w:val="24"/>
          <w:szCs w:val="24"/>
          <w:lang w:val="en-US"/>
        </w:rPr>
        <w:t xml:space="preserve"> the quality of democracy in Latin America”, Springer Science Business Media.</w:t>
      </w:r>
    </w:p>
    <w:p w14:paraId="2A734F65" w14:textId="77777777" w:rsidR="007D62AC" w:rsidRDefault="00A80427"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Molinar, Juan</w:t>
      </w:r>
    </w:p>
    <w:p w14:paraId="24B996BB" w14:textId="77777777" w:rsidR="00A80427" w:rsidRPr="0013781B" w:rsidRDefault="00A80427" w:rsidP="00FA33BE">
      <w:pPr>
        <w:spacing w:line="240" w:lineRule="auto"/>
        <w:jc w:val="both"/>
        <w:rPr>
          <w:rFonts w:ascii="Times New Roman" w:hAnsi="Times New Roman" w:cs="Times New Roman"/>
          <w:sz w:val="24"/>
          <w:szCs w:val="24"/>
        </w:rPr>
      </w:pPr>
      <w:r w:rsidRPr="0013781B">
        <w:rPr>
          <w:rFonts w:ascii="Times New Roman" w:hAnsi="Times New Roman" w:cs="Times New Roman"/>
          <w:sz w:val="24"/>
          <w:szCs w:val="24"/>
        </w:rPr>
        <w:t xml:space="preserve">1998 “Renegociación de las reglas del juego: el Estado y los partidos políticos” en Serrano y Bulmer-Thomas, </w:t>
      </w:r>
      <w:r w:rsidRPr="0013781B">
        <w:rPr>
          <w:rFonts w:ascii="Times New Roman" w:hAnsi="Times New Roman" w:cs="Times New Roman"/>
          <w:i/>
          <w:sz w:val="24"/>
          <w:szCs w:val="24"/>
        </w:rPr>
        <w:t>La reconstrucción del Estado: México después de Salinas</w:t>
      </w:r>
      <w:r w:rsidRPr="0013781B">
        <w:rPr>
          <w:rFonts w:ascii="Times New Roman" w:hAnsi="Times New Roman" w:cs="Times New Roman"/>
          <w:sz w:val="24"/>
          <w:szCs w:val="24"/>
        </w:rPr>
        <w:t>, México, FCE.</w:t>
      </w:r>
    </w:p>
    <w:p w14:paraId="7ED850E2" w14:textId="77777777" w:rsidR="007D62AC" w:rsidRDefault="00FD5B69"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Morlino</w:t>
      </w:r>
      <w:proofErr w:type="spellEnd"/>
      <w:r w:rsidRPr="0013781B">
        <w:rPr>
          <w:rFonts w:ascii="Times New Roman" w:hAnsi="Times New Roman" w:cs="Times New Roman"/>
          <w:sz w:val="24"/>
          <w:szCs w:val="24"/>
          <w:lang w:val="en-US"/>
        </w:rPr>
        <w:t>, Leonardo</w:t>
      </w:r>
    </w:p>
    <w:p w14:paraId="4BA3DCD8" w14:textId="77777777" w:rsidR="00FD5B69" w:rsidRPr="0013781B" w:rsidRDefault="00FD5B69" w:rsidP="00FA33BE">
      <w:pPr>
        <w:spacing w:line="240" w:lineRule="auto"/>
        <w:jc w:val="both"/>
        <w:rPr>
          <w:rFonts w:ascii="Times New Roman" w:hAnsi="Times New Roman" w:cs="Times New Roman"/>
          <w:bCs/>
          <w:sz w:val="24"/>
          <w:szCs w:val="24"/>
        </w:rPr>
      </w:pPr>
      <w:r w:rsidRPr="0013781B">
        <w:rPr>
          <w:rFonts w:ascii="Times New Roman" w:hAnsi="Times New Roman" w:cs="Times New Roman"/>
          <w:sz w:val="24"/>
          <w:szCs w:val="24"/>
          <w:lang w:val="en-US"/>
        </w:rPr>
        <w:t>2013</w:t>
      </w:r>
      <w:r w:rsidRPr="0013781B">
        <w:rPr>
          <w:rFonts w:ascii="Times New Roman" w:hAnsi="Times New Roman" w:cs="Times New Roman"/>
          <w:bCs/>
          <w:sz w:val="24"/>
          <w:szCs w:val="24"/>
          <w:lang w:val="en-US"/>
        </w:rPr>
        <w:t xml:space="preserve"> </w:t>
      </w:r>
      <w:r w:rsidRPr="0013781B">
        <w:rPr>
          <w:rFonts w:ascii="Times New Roman" w:hAnsi="Times New Roman" w:cs="Times New Roman"/>
          <w:bCs/>
          <w:i/>
          <w:sz w:val="24"/>
          <w:szCs w:val="24"/>
          <w:lang w:val="en-US"/>
        </w:rPr>
        <w:t>What Qualities of Democracy in Latin America?</w:t>
      </w:r>
      <w:r w:rsidRPr="0013781B">
        <w:rPr>
          <w:rFonts w:ascii="Times New Roman" w:hAnsi="Times New Roman" w:cs="Times New Roman"/>
          <w:i/>
          <w:sz w:val="24"/>
          <w:szCs w:val="24"/>
          <w:lang w:val="en-US"/>
        </w:rPr>
        <w:t xml:space="preserve"> </w:t>
      </w:r>
      <w:r w:rsidRPr="0013781B">
        <w:rPr>
          <w:rFonts w:ascii="Times New Roman" w:hAnsi="Times New Roman" w:cs="Times New Roman"/>
          <w:bCs/>
          <w:i/>
          <w:sz w:val="24"/>
          <w:szCs w:val="24"/>
        </w:rPr>
        <w:t>A Report for IDEA</w:t>
      </w:r>
      <w:r w:rsidRPr="0013781B">
        <w:rPr>
          <w:rFonts w:ascii="Times New Roman" w:hAnsi="Times New Roman" w:cs="Times New Roman"/>
          <w:bCs/>
          <w:sz w:val="24"/>
          <w:szCs w:val="24"/>
        </w:rPr>
        <w:t xml:space="preserve"> (copia del original).</w:t>
      </w:r>
    </w:p>
    <w:p w14:paraId="685C364A" w14:textId="77777777" w:rsidR="007D62AC" w:rsidRDefault="00F20B9C"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Ostrom</w:t>
      </w:r>
      <w:proofErr w:type="spellEnd"/>
      <w:r w:rsidRPr="0013781B">
        <w:rPr>
          <w:rFonts w:ascii="Times New Roman" w:hAnsi="Times New Roman" w:cs="Times New Roman"/>
          <w:sz w:val="24"/>
          <w:szCs w:val="24"/>
          <w:lang w:val="en-US"/>
        </w:rPr>
        <w:t xml:space="preserve">, </w:t>
      </w:r>
      <w:proofErr w:type="spellStart"/>
      <w:r w:rsidRPr="0013781B">
        <w:rPr>
          <w:rFonts w:ascii="Times New Roman" w:hAnsi="Times New Roman" w:cs="Times New Roman"/>
          <w:sz w:val="24"/>
          <w:szCs w:val="24"/>
          <w:lang w:val="en-US"/>
        </w:rPr>
        <w:t>Elinor</w:t>
      </w:r>
      <w:proofErr w:type="spellEnd"/>
      <w:r w:rsidRPr="0013781B">
        <w:rPr>
          <w:rFonts w:ascii="Times New Roman" w:hAnsi="Times New Roman" w:cs="Times New Roman"/>
          <w:sz w:val="24"/>
          <w:szCs w:val="24"/>
          <w:lang w:val="en-US"/>
        </w:rPr>
        <w:t xml:space="preserve"> </w:t>
      </w:r>
    </w:p>
    <w:p w14:paraId="349B9D55" w14:textId="77777777" w:rsidR="00F20B9C" w:rsidRPr="0013781B" w:rsidRDefault="00F20B9C" w:rsidP="00FA33BE">
      <w:pPr>
        <w:spacing w:line="240" w:lineRule="auto"/>
        <w:jc w:val="both"/>
        <w:rPr>
          <w:rFonts w:ascii="Times New Roman" w:hAnsi="Times New Roman" w:cs="Times New Roman"/>
          <w:sz w:val="24"/>
          <w:szCs w:val="24"/>
          <w:lang w:val="en-US"/>
        </w:rPr>
      </w:pPr>
      <w:proofErr w:type="gramStart"/>
      <w:r w:rsidRPr="0013781B">
        <w:rPr>
          <w:rFonts w:ascii="Times New Roman" w:hAnsi="Times New Roman" w:cs="Times New Roman"/>
          <w:sz w:val="24"/>
          <w:szCs w:val="24"/>
          <w:lang w:val="en-US"/>
        </w:rPr>
        <w:t xml:space="preserve">1986 “An agenda for the study of institutions”, </w:t>
      </w:r>
      <w:r w:rsidRPr="0013781B">
        <w:rPr>
          <w:rFonts w:ascii="Times New Roman" w:hAnsi="Times New Roman" w:cs="Times New Roman"/>
          <w:i/>
          <w:sz w:val="24"/>
          <w:szCs w:val="24"/>
          <w:lang w:val="en-US"/>
        </w:rPr>
        <w:t>Public Choice</w:t>
      </w:r>
      <w:r w:rsidRPr="0013781B">
        <w:rPr>
          <w:rFonts w:ascii="Times New Roman" w:hAnsi="Times New Roman" w:cs="Times New Roman"/>
          <w:sz w:val="24"/>
          <w:szCs w:val="24"/>
          <w:lang w:val="en-US"/>
        </w:rPr>
        <w:t xml:space="preserve">, </w:t>
      </w:r>
      <w:proofErr w:type="spellStart"/>
      <w:r w:rsidRPr="0013781B">
        <w:rPr>
          <w:rFonts w:ascii="Times New Roman" w:hAnsi="Times New Roman" w:cs="Times New Roman"/>
          <w:sz w:val="24"/>
          <w:szCs w:val="24"/>
          <w:lang w:val="en-US"/>
        </w:rPr>
        <w:t>núm</w:t>
      </w:r>
      <w:proofErr w:type="spellEnd"/>
      <w:r w:rsidRPr="0013781B">
        <w:rPr>
          <w:rFonts w:ascii="Times New Roman" w:hAnsi="Times New Roman" w:cs="Times New Roman"/>
          <w:sz w:val="24"/>
          <w:szCs w:val="24"/>
          <w:lang w:val="en-US"/>
        </w:rPr>
        <w:t>.</w:t>
      </w:r>
      <w:proofErr w:type="gramEnd"/>
      <w:r w:rsidRPr="0013781B">
        <w:rPr>
          <w:rFonts w:ascii="Times New Roman" w:hAnsi="Times New Roman" w:cs="Times New Roman"/>
          <w:sz w:val="24"/>
          <w:szCs w:val="24"/>
          <w:lang w:val="en-US"/>
        </w:rPr>
        <w:t xml:space="preserve"> 48, pp. 3-25 </w:t>
      </w:r>
    </w:p>
    <w:p w14:paraId="50EFA7A9" w14:textId="77777777" w:rsidR="007D62AC" w:rsidRDefault="005F37F4" w:rsidP="00FA33BE">
      <w:pPr>
        <w:autoSpaceDE w:val="0"/>
        <w:autoSpaceDN w:val="0"/>
        <w:adjustRightInd w:val="0"/>
        <w:spacing w:after="0" w:line="240" w:lineRule="auto"/>
        <w:jc w:val="both"/>
        <w:rPr>
          <w:rFonts w:ascii="Times New Roman" w:hAnsi="Times New Roman" w:cs="Times New Roman"/>
          <w:bCs/>
          <w:sz w:val="24"/>
          <w:szCs w:val="24"/>
          <w:lang w:eastAsia="es-MX"/>
        </w:rPr>
      </w:pPr>
      <w:r w:rsidRPr="0013781B">
        <w:rPr>
          <w:rFonts w:ascii="Times New Roman" w:hAnsi="Times New Roman" w:cs="Times New Roman"/>
          <w:bCs/>
          <w:sz w:val="24"/>
          <w:szCs w:val="24"/>
          <w:lang w:eastAsia="es-MX"/>
        </w:rPr>
        <w:lastRenderedPageBreak/>
        <w:t xml:space="preserve">Pierson, Paul y Theda Skocpol </w:t>
      </w:r>
    </w:p>
    <w:p w14:paraId="14FFD9CF" w14:textId="77777777" w:rsidR="005F37F4" w:rsidRPr="0013781B" w:rsidRDefault="005F37F4" w:rsidP="00FA33BE">
      <w:pPr>
        <w:autoSpaceDE w:val="0"/>
        <w:autoSpaceDN w:val="0"/>
        <w:adjustRightInd w:val="0"/>
        <w:spacing w:after="0" w:line="240" w:lineRule="auto"/>
        <w:jc w:val="both"/>
        <w:rPr>
          <w:rFonts w:ascii="Times New Roman" w:hAnsi="Times New Roman" w:cs="Times New Roman"/>
          <w:bCs/>
          <w:sz w:val="24"/>
          <w:szCs w:val="24"/>
          <w:lang w:eastAsia="es-MX"/>
        </w:rPr>
      </w:pPr>
      <w:r w:rsidRPr="0013781B">
        <w:rPr>
          <w:rFonts w:ascii="Times New Roman" w:hAnsi="Times New Roman" w:cs="Times New Roman"/>
          <w:bCs/>
          <w:sz w:val="24"/>
          <w:szCs w:val="24"/>
          <w:lang w:eastAsia="es-MX"/>
        </w:rPr>
        <w:t xml:space="preserve">2008 “El institucionalismo histórico en la ciencia política contemporánea”, </w:t>
      </w:r>
      <w:r w:rsidRPr="0013781B">
        <w:rPr>
          <w:rFonts w:ascii="Times New Roman" w:hAnsi="Times New Roman" w:cs="Times New Roman"/>
          <w:bCs/>
          <w:i/>
          <w:sz w:val="24"/>
          <w:szCs w:val="24"/>
          <w:lang w:eastAsia="es-MX"/>
        </w:rPr>
        <w:t>Revista Uruguaya de Ciencia Política</w:t>
      </w:r>
      <w:r w:rsidRPr="0013781B">
        <w:rPr>
          <w:rFonts w:ascii="Times New Roman" w:hAnsi="Times New Roman" w:cs="Times New Roman"/>
          <w:bCs/>
          <w:sz w:val="24"/>
          <w:szCs w:val="24"/>
          <w:lang w:eastAsia="es-MX"/>
        </w:rPr>
        <w:t>, Vol. 17, No. 1, Montevideo, ICP, pp. 7-38.</w:t>
      </w:r>
    </w:p>
    <w:p w14:paraId="3653A4C1" w14:textId="77777777" w:rsidR="00A26C00" w:rsidRPr="0013781B" w:rsidRDefault="00A26C00" w:rsidP="00FA33BE">
      <w:pPr>
        <w:autoSpaceDE w:val="0"/>
        <w:autoSpaceDN w:val="0"/>
        <w:adjustRightInd w:val="0"/>
        <w:spacing w:after="0" w:line="240" w:lineRule="auto"/>
        <w:jc w:val="both"/>
        <w:rPr>
          <w:rFonts w:ascii="Times New Roman" w:hAnsi="Times New Roman" w:cs="Times New Roman"/>
          <w:bCs/>
          <w:sz w:val="24"/>
          <w:szCs w:val="24"/>
          <w:lang w:eastAsia="es-MX"/>
        </w:rPr>
      </w:pPr>
    </w:p>
    <w:p w14:paraId="41E44FB0" w14:textId="77777777" w:rsidR="007D62AC" w:rsidRDefault="00A26C00" w:rsidP="00FA33BE">
      <w:pPr>
        <w:autoSpaceDE w:val="0"/>
        <w:autoSpaceDN w:val="0"/>
        <w:adjustRightInd w:val="0"/>
        <w:spacing w:after="0" w:line="240" w:lineRule="auto"/>
        <w:jc w:val="both"/>
        <w:rPr>
          <w:rFonts w:ascii="Times New Roman" w:hAnsi="Times New Roman" w:cs="Times New Roman"/>
          <w:sz w:val="24"/>
          <w:szCs w:val="24"/>
        </w:rPr>
      </w:pPr>
      <w:r w:rsidRPr="0013781B">
        <w:rPr>
          <w:rFonts w:ascii="Times New Roman" w:hAnsi="Times New Roman" w:cs="Times New Roman"/>
          <w:sz w:val="24"/>
          <w:szCs w:val="24"/>
        </w:rPr>
        <w:t>R</w:t>
      </w:r>
      <w:r w:rsidR="007D62AC">
        <w:rPr>
          <w:rFonts w:ascii="Times New Roman" w:hAnsi="Times New Roman" w:cs="Times New Roman"/>
          <w:sz w:val="24"/>
          <w:szCs w:val="24"/>
        </w:rPr>
        <w:t xml:space="preserve">ojas Aravena, Francisco </w:t>
      </w:r>
    </w:p>
    <w:p w14:paraId="6ED1E907" w14:textId="77777777" w:rsidR="00A26C00" w:rsidRPr="0013781B" w:rsidRDefault="007D62AC" w:rsidP="00FA3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2002 </w:t>
      </w:r>
      <w:r w:rsidR="00A26C00" w:rsidRPr="0013781B">
        <w:rPr>
          <w:rFonts w:ascii="Times New Roman" w:hAnsi="Times New Roman" w:cs="Times New Roman"/>
          <w:sz w:val="24"/>
          <w:szCs w:val="24"/>
        </w:rPr>
        <w:t xml:space="preserve">“Introducción”, en Oscar Muñoz y Stefoni, coords. </w:t>
      </w:r>
      <w:r w:rsidR="00A26C00" w:rsidRPr="0013781B">
        <w:rPr>
          <w:rFonts w:ascii="Times New Roman" w:hAnsi="Times New Roman" w:cs="Times New Roman"/>
          <w:i/>
          <w:sz w:val="24"/>
          <w:szCs w:val="24"/>
        </w:rPr>
        <w:t>El Periodo del presidente Frei Ruiz-Tagle</w:t>
      </w:r>
      <w:r w:rsidR="00A26C00" w:rsidRPr="0013781B">
        <w:rPr>
          <w:rFonts w:ascii="Times New Roman" w:hAnsi="Times New Roman" w:cs="Times New Roman"/>
          <w:sz w:val="24"/>
          <w:szCs w:val="24"/>
        </w:rPr>
        <w:t>,  FLACSO, Editorial Universitaria.</w:t>
      </w:r>
    </w:p>
    <w:p w14:paraId="05E5A66F" w14:textId="77777777" w:rsidR="000B7982" w:rsidRPr="0013781B" w:rsidRDefault="000B7982" w:rsidP="00FA33BE">
      <w:pPr>
        <w:autoSpaceDE w:val="0"/>
        <w:autoSpaceDN w:val="0"/>
        <w:adjustRightInd w:val="0"/>
        <w:spacing w:after="0" w:line="240" w:lineRule="auto"/>
        <w:jc w:val="both"/>
        <w:rPr>
          <w:rFonts w:ascii="Times New Roman" w:hAnsi="Times New Roman" w:cs="Times New Roman"/>
          <w:sz w:val="24"/>
          <w:szCs w:val="24"/>
        </w:rPr>
      </w:pPr>
    </w:p>
    <w:p w14:paraId="562EB196" w14:textId="77777777" w:rsidR="007D62AC" w:rsidRDefault="000B7982" w:rsidP="00FA33BE">
      <w:pPr>
        <w:autoSpaceDE w:val="0"/>
        <w:autoSpaceDN w:val="0"/>
        <w:adjustRightInd w:val="0"/>
        <w:spacing w:after="0"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Ríos Figueroa, Julio </w:t>
      </w:r>
    </w:p>
    <w:p w14:paraId="585FA959" w14:textId="77777777" w:rsidR="000B7982" w:rsidRPr="0013781B" w:rsidRDefault="007D62AC" w:rsidP="00FA33BE">
      <w:pPr>
        <w:autoSpaceDE w:val="0"/>
        <w:autoSpaceDN w:val="0"/>
        <w:adjustRightInd w:val="0"/>
        <w:spacing w:after="0" w:line="240" w:lineRule="auto"/>
        <w:jc w:val="both"/>
        <w:rPr>
          <w:rFonts w:ascii="Times New Roman" w:hAnsi="Times New Roman" w:cs="Times New Roman"/>
          <w:bCs/>
          <w:sz w:val="24"/>
          <w:szCs w:val="24"/>
          <w:lang w:val="en-US" w:eastAsia="es-MX"/>
        </w:rPr>
      </w:pPr>
      <w:r>
        <w:rPr>
          <w:rFonts w:ascii="Times New Roman" w:hAnsi="Times New Roman" w:cs="Times New Roman"/>
          <w:sz w:val="24"/>
          <w:szCs w:val="24"/>
          <w:lang w:val="en-US"/>
        </w:rPr>
        <w:t>2007</w:t>
      </w:r>
      <w:r w:rsidR="000B7982" w:rsidRPr="0013781B">
        <w:rPr>
          <w:rFonts w:ascii="Times New Roman" w:hAnsi="Times New Roman" w:cs="Times New Roman"/>
          <w:sz w:val="24"/>
          <w:szCs w:val="24"/>
          <w:lang w:val="en-US"/>
        </w:rPr>
        <w:t xml:space="preserve">, “Fragmentation of power and the emergence of an effective judiciary in Mexico, 1994-2002”, en </w:t>
      </w:r>
      <w:r w:rsidR="000B7982" w:rsidRPr="0013781B">
        <w:rPr>
          <w:rFonts w:ascii="Times New Roman" w:hAnsi="Times New Roman" w:cs="Times New Roman"/>
          <w:i/>
          <w:sz w:val="24"/>
          <w:szCs w:val="24"/>
          <w:lang w:val="en-US"/>
        </w:rPr>
        <w:t>Latin American Politics and Society</w:t>
      </w:r>
      <w:r w:rsidR="000B7982" w:rsidRPr="0013781B">
        <w:rPr>
          <w:rFonts w:ascii="Times New Roman" w:hAnsi="Times New Roman" w:cs="Times New Roman"/>
          <w:sz w:val="24"/>
          <w:szCs w:val="24"/>
          <w:lang w:val="en-US"/>
        </w:rPr>
        <w:t xml:space="preserve">, 49, No. 1, pp. 39-57. </w:t>
      </w:r>
    </w:p>
    <w:p w14:paraId="68F09DB6" w14:textId="77777777" w:rsidR="005435A1" w:rsidRPr="0013781B" w:rsidRDefault="005435A1" w:rsidP="00FA33BE">
      <w:pPr>
        <w:autoSpaceDE w:val="0"/>
        <w:autoSpaceDN w:val="0"/>
        <w:adjustRightInd w:val="0"/>
        <w:spacing w:after="0" w:line="240" w:lineRule="auto"/>
        <w:jc w:val="both"/>
        <w:rPr>
          <w:rFonts w:ascii="Times New Roman" w:hAnsi="Times New Roman" w:cs="Times New Roman"/>
          <w:bCs/>
          <w:sz w:val="24"/>
          <w:szCs w:val="24"/>
          <w:lang w:val="en-US" w:eastAsia="es-MX"/>
        </w:rPr>
      </w:pPr>
    </w:p>
    <w:p w14:paraId="71DF3BE9" w14:textId="77777777" w:rsidR="007D62AC" w:rsidRDefault="005435A1" w:rsidP="00FA33BE">
      <w:pPr>
        <w:autoSpaceDE w:val="0"/>
        <w:autoSpaceDN w:val="0"/>
        <w:adjustRightInd w:val="0"/>
        <w:spacing w:after="0" w:line="240" w:lineRule="auto"/>
        <w:jc w:val="both"/>
        <w:rPr>
          <w:rFonts w:ascii="Times New Roman" w:hAnsi="Times New Roman" w:cs="Times New Roman"/>
          <w:bCs/>
          <w:sz w:val="24"/>
          <w:szCs w:val="24"/>
          <w:lang w:eastAsia="es-MX"/>
        </w:rPr>
      </w:pPr>
      <w:r w:rsidRPr="0013781B">
        <w:rPr>
          <w:rFonts w:ascii="Times New Roman" w:hAnsi="Times New Roman" w:cs="Times New Roman"/>
          <w:bCs/>
          <w:sz w:val="24"/>
          <w:szCs w:val="24"/>
          <w:lang w:eastAsia="es-MX"/>
        </w:rPr>
        <w:t xml:space="preserve">Ruiz, Leticia </w:t>
      </w:r>
    </w:p>
    <w:p w14:paraId="1C0A4FF5" w14:textId="77777777" w:rsidR="005435A1" w:rsidRPr="0013781B" w:rsidRDefault="005435A1" w:rsidP="00FA33BE">
      <w:pPr>
        <w:autoSpaceDE w:val="0"/>
        <w:autoSpaceDN w:val="0"/>
        <w:adjustRightInd w:val="0"/>
        <w:spacing w:after="0" w:line="240" w:lineRule="auto"/>
        <w:jc w:val="both"/>
        <w:rPr>
          <w:rFonts w:ascii="Times New Roman" w:hAnsi="Times New Roman" w:cs="Times New Roman"/>
          <w:bCs/>
          <w:sz w:val="24"/>
          <w:szCs w:val="24"/>
          <w:lang w:val="en-US" w:eastAsia="es-MX"/>
        </w:rPr>
      </w:pPr>
      <w:r w:rsidRPr="0013781B">
        <w:rPr>
          <w:rFonts w:ascii="Times New Roman" w:hAnsi="Times New Roman" w:cs="Times New Roman"/>
          <w:bCs/>
          <w:sz w:val="24"/>
          <w:szCs w:val="24"/>
          <w:lang w:eastAsia="es-MX"/>
        </w:rPr>
        <w:t xml:space="preserve">2011 “Chile: a model case?”, en Levine y Molina eds. </w:t>
      </w:r>
      <w:r w:rsidRPr="0013781B">
        <w:rPr>
          <w:rFonts w:ascii="Times New Roman" w:hAnsi="Times New Roman" w:cs="Times New Roman"/>
          <w:bCs/>
          <w:i/>
          <w:sz w:val="24"/>
          <w:szCs w:val="24"/>
          <w:lang w:val="en-US" w:eastAsia="es-MX"/>
        </w:rPr>
        <w:t>The quality of democracy in Latin America</w:t>
      </w:r>
      <w:r w:rsidRPr="0013781B">
        <w:rPr>
          <w:rFonts w:ascii="Times New Roman" w:hAnsi="Times New Roman" w:cs="Times New Roman"/>
          <w:bCs/>
          <w:sz w:val="24"/>
          <w:szCs w:val="24"/>
          <w:lang w:val="en-US" w:eastAsia="es-MX"/>
        </w:rPr>
        <w:t xml:space="preserve">, Lynne </w:t>
      </w:r>
      <w:proofErr w:type="spellStart"/>
      <w:r w:rsidRPr="0013781B">
        <w:rPr>
          <w:rFonts w:ascii="Times New Roman" w:hAnsi="Times New Roman" w:cs="Times New Roman"/>
          <w:bCs/>
          <w:sz w:val="24"/>
          <w:szCs w:val="24"/>
          <w:lang w:val="en-US" w:eastAsia="es-MX"/>
        </w:rPr>
        <w:t>Rienner</w:t>
      </w:r>
      <w:proofErr w:type="spellEnd"/>
      <w:r w:rsidRPr="0013781B">
        <w:rPr>
          <w:rFonts w:ascii="Times New Roman" w:hAnsi="Times New Roman" w:cs="Times New Roman"/>
          <w:bCs/>
          <w:sz w:val="24"/>
          <w:szCs w:val="24"/>
          <w:lang w:val="en-US" w:eastAsia="es-MX"/>
        </w:rPr>
        <w:t>, Boulder.</w:t>
      </w:r>
    </w:p>
    <w:p w14:paraId="52AA3CA6" w14:textId="77777777" w:rsidR="005F37F4" w:rsidRPr="0013781B" w:rsidRDefault="005F37F4" w:rsidP="00FA33BE">
      <w:pPr>
        <w:spacing w:line="240" w:lineRule="auto"/>
        <w:jc w:val="both"/>
        <w:rPr>
          <w:rFonts w:ascii="Times New Roman" w:hAnsi="Times New Roman" w:cs="Times New Roman"/>
          <w:sz w:val="24"/>
          <w:szCs w:val="24"/>
          <w:lang w:val="en-US"/>
        </w:rPr>
      </w:pPr>
    </w:p>
    <w:p w14:paraId="67E5938E" w14:textId="77777777" w:rsidR="00055332" w:rsidRDefault="00055332" w:rsidP="00FA33BE">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Sehnbruch</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Siavelis</w:t>
      </w:r>
      <w:proofErr w:type="spellEnd"/>
      <w:r>
        <w:rPr>
          <w:rFonts w:ascii="Times New Roman" w:hAnsi="Times New Roman" w:cs="Times New Roman"/>
          <w:sz w:val="24"/>
          <w:szCs w:val="24"/>
          <w:lang w:val="en-US"/>
        </w:rPr>
        <w:t xml:space="preserve"> (eds.)</w:t>
      </w:r>
    </w:p>
    <w:p w14:paraId="6D5A93F6" w14:textId="77777777" w:rsidR="000B7982" w:rsidRPr="0013781B" w:rsidRDefault="000B7982"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2013 </w:t>
      </w:r>
      <w:r w:rsidRPr="0013781B">
        <w:rPr>
          <w:rFonts w:ascii="Times New Roman" w:hAnsi="Times New Roman" w:cs="Times New Roman"/>
          <w:i/>
          <w:sz w:val="24"/>
          <w:szCs w:val="24"/>
          <w:lang w:val="en-US"/>
        </w:rPr>
        <w:t>Democratic Chile: the politics and policies of a historic coalition, 1990-2010”</w:t>
      </w:r>
      <w:r w:rsidRPr="0013781B">
        <w:rPr>
          <w:rFonts w:ascii="Times New Roman" w:hAnsi="Times New Roman" w:cs="Times New Roman"/>
          <w:sz w:val="24"/>
          <w:szCs w:val="24"/>
          <w:lang w:val="en-US"/>
        </w:rPr>
        <w:t xml:space="preserve">, Boulder, Lynne </w:t>
      </w:r>
      <w:proofErr w:type="spellStart"/>
      <w:r w:rsidRPr="0013781B">
        <w:rPr>
          <w:rFonts w:ascii="Times New Roman" w:hAnsi="Times New Roman" w:cs="Times New Roman"/>
          <w:sz w:val="24"/>
          <w:szCs w:val="24"/>
          <w:lang w:val="en-US"/>
        </w:rPr>
        <w:t>Rienner</w:t>
      </w:r>
      <w:proofErr w:type="spellEnd"/>
      <w:r w:rsidRPr="0013781B">
        <w:rPr>
          <w:rFonts w:ascii="Times New Roman" w:hAnsi="Times New Roman" w:cs="Times New Roman"/>
          <w:sz w:val="24"/>
          <w:szCs w:val="24"/>
          <w:lang w:val="en-US"/>
        </w:rPr>
        <w:t>.</w:t>
      </w:r>
    </w:p>
    <w:p w14:paraId="46EB3B5A" w14:textId="77777777" w:rsidR="00055332" w:rsidRDefault="005F37F4"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Schmitter</w:t>
      </w:r>
      <w:proofErr w:type="spellEnd"/>
      <w:r w:rsidR="00FD5B69" w:rsidRPr="0013781B">
        <w:rPr>
          <w:rFonts w:ascii="Times New Roman" w:hAnsi="Times New Roman" w:cs="Times New Roman"/>
          <w:sz w:val="24"/>
          <w:szCs w:val="24"/>
          <w:lang w:val="en-US"/>
        </w:rPr>
        <w:t xml:space="preserve"> </w:t>
      </w:r>
    </w:p>
    <w:p w14:paraId="4950D69E" w14:textId="77777777" w:rsidR="00FD5B69" w:rsidRPr="0013781B" w:rsidRDefault="00FD5B69"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2003</w:t>
      </w:r>
      <w:r w:rsidR="005F37F4" w:rsidRPr="0013781B">
        <w:rPr>
          <w:rFonts w:ascii="Times New Roman" w:hAnsi="Times New Roman" w:cs="Times New Roman"/>
          <w:sz w:val="24"/>
          <w:szCs w:val="24"/>
          <w:lang w:val="en-US"/>
        </w:rPr>
        <w:t xml:space="preserve"> “The quality of democracy: the ambiguous virtues of accountability”, </w:t>
      </w:r>
      <w:proofErr w:type="spellStart"/>
      <w:r w:rsidR="005F37F4" w:rsidRPr="0013781B">
        <w:rPr>
          <w:rFonts w:ascii="Times New Roman" w:hAnsi="Times New Roman" w:cs="Times New Roman"/>
          <w:sz w:val="24"/>
          <w:szCs w:val="24"/>
          <w:lang w:val="en-US"/>
        </w:rPr>
        <w:t>Istituto</w:t>
      </w:r>
      <w:proofErr w:type="spellEnd"/>
      <w:r w:rsidR="005F37F4" w:rsidRPr="0013781B">
        <w:rPr>
          <w:rFonts w:ascii="Times New Roman" w:hAnsi="Times New Roman" w:cs="Times New Roman"/>
          <w:sz w:val="24"/>
          <w:szCs w:val="24"/>
          <w:lang w:val="en-US"/>
        </w:rPr>
        <w:t xml:space="preserve"> </w:t>
      </w:r>
      <w:proofErr w:type="spellStart"/>
      <w:r w:rsidR="005F37F4" w:rsidRPr="0013781B">
        <w:rPr>
          <w:rFonts w:ascii="Times New Roman" w:hAnsi="Times New Roman" w:cs="Times New Roman"/>
          <w:sz w:val="24"/>
          <w:szCs w:val="24"/>
          <w:lang w:val="en-US"/>
        </w:rPr>
        <w:t>Universitario</w:t>
      </w:r>
      <w:proofErr w:type="spellEnd"/>
      <w:r w:rsidR="005F37F4" w:rsidRPr="0013781B">
        <w:rPr>
          <w:rFonts w:ascii="Times New Roman" w:hAnsi="Times New Roman" w:cs="Times New Roman"/>
          <w:sz w:val="24"/>
          <w:szCs w:val="24"/>
          <w:lang w:val="en-US"/>
        </w:rPr>
        <w:t xml:space="preserve"> </w:t>
      </w:r>
      <w:proofErr w:type="spellStart"/>
      <w:r w:rsidR="005F37F4" w:rsidRPr="0013781B">
        <w:rPr>
          <w:rFonts w:ascii="Times New Roman" w:hAnsi="Times New Roman" w:cs="Times New Roman"/>
          <w:sz w:val="24"/>
          <w:szCs w:val="24"/>
          <w:lang w:val="en-US"/>
        </w:rPr>
        <w:t>Europeo</w:t>
      </w:r>
      <w:proofErr w:type="spellEnd"/>
      <w:r w:rsidR="005F37F4" w:rsidRPr="0013781B">
        <w:rPr>
          <w:rFonts w:ascii="Times New Roman" w:hAnsi="Times New Roman" w:cs="Times New Roman"/>
          <w:sz w:val="24"/>
          <w:szCs w:val="24"/>
          <w:lang w:val="en-US"/>
        </w:rPr>
        <w:t xml:space="preserve">, </w:t>
      </w:r>
      <w:proofErr w:type="spellStart"/>
      <w:r w:rsidR="005F37F4" w:rsidRPr="0013781B">
        <w:rPr>
          <w:rFonts w:ascii="Times New Roman" w:hAnsi="Times New Roman" w:cs="Times New Roman"/>
          <w:sz w:val="24"/>
          <w:szCs w:val="24"/>
          <w:lang w:val="en-US"/>
        </w:rPr>
        <w:t>settembro</w:t>
      </w:r>
      <w:proofErr w:type="spellEnd"/>
      <w:r w:rsidR="005F37F4" w:rsidRPr="0013781B">
        <w:rPr>
          <w:rFonts w:ascii="Times New Roman" w:hAnsi="Times New Roman" w:cs="Times New Roman"/>
          <w:sz w:val="24"/>
          <w:szCs w:val="24"/>
          <w:lang w:val="en-US"/>
        </w:rPr>
        <w:t xml:space="preserve"> 2003.</w:t>
      </w:r>
    </w:p>
    <w:p w14:paraId="3D464CF5" w14:textId="77777777" w:rsidR="00055332" w:rsidRDefault="00FD5B69"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Schmitter</w:t>
      </w:r>
      <w:proofErr w:type="spellEnd"/>
      <w:r w:rsidRPr="0013781B">
        <w:rPr>
          <w:rFonts w:ascii="Times New Roman" w:hAnsi="Times New Roman" w:cs="Times New Roman"/>
          <w:sz w:val="24"/>
          <w:szCs w:val="24"/>
          <w:lang w:val="en-US"/>
        </w:rPr>
        <w:t xml:space="preserve"> y </w:t>
      </w:r>
      <w:proofErr w:type="spellStart"/>
      <w:r w:rsidRPr="0013781B">
        <w:rPr>
          <w:rFonts w:ascii="Times New Roman" w:hAnsi="Times New Roman" w:cs="Times New Roman"/>
          <w:sz w:val="24"/>
          <w:szCs w:val="24"/>
          <w:lang w:val="en-US"/>
        </w:rPr>
        <w:t>Santiso</w:t>
      </w:r>
      <w:proofErr w:type="spellEnd"/>
    </w:p>
    <w:p w14:paraId="4D031983" w14:textId="77777777" w:rsidR="00FD5B69" w:rsidRPr="0013781B" w:rsidRDefault="00FD5B69" w:rsidP="00FA33BE">
      <w:pPr>
        <w:spacing w:line="240" w:lineRule="auto"/>
        <w:jc w:val="both"/>
        <w:rPr>
          <w:rFonts w:ascii="Times New Roman" w:hAnsi="Times New Roman" w:cs="Times New Roman"/>
          <w:sz w:val="24"/>
          <w:szCs w:val="24"/>
          <w:lang w:val="en-US"/>
        </w:rPr>
      </w:pPr>
      <w:proofErr w:type="gramStart"/>
      <w:r w:rsidRPr="0013781B">
        <w:rPr>
          <w:rFonts w:ascii="Times New Roman" w:hAnsi="Times New Roman" w:cs="Times New Roman"/>
          <w:sz w:val="24"/>
          <w:szCs w:val="24"/>
          <w:lang w:val="en-US"/>
        </w:rPr>
        <w:t xml:space="preserve">1998 “Three temporal dimensions of the consolidation of democracy”, en </w:t>
      </w:r>
      <w:r w:rsidRPr="0013781B">
        <w:rPr>
          <w:rFonts w:ascii="Times New Roman" w:hAnsi="Times New Roman" w:cs="Times New Roman"/>
          <w:i/>
          <w:sz w:val="24"/>
          <w:szCs w:val="24"/>
          <w:lang w:val="en-US"/>
        </w:rPr>
        <w:t>IPSR</w:t>
      </w:r>
      <w:r w:rsidRPr="0013781B">
        <w:rPr>
          <w:rFonts w:ascii="Times New Roman" w:hAnsi="Times New Roman" w:cs="Times New Roman"/>
          <w:sz w:val="24"/>
          <w:szCs w:val="24"/>
          <w:lang w:val="en-US"/>
        </w:rPr>
        <w:t>, vol. 19, no. 1, pp. 69-92.</w:t>
      </w:r>
      <w:proofErr w:type="gramEnd"/>
    </w:p>
    <w:p w14:paraId="0AF68D83" w14:textId="77777777" w:rsidR="00055332" w:rsidRDefault="00992412"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Scribner,</w:t>
      </w:r>
      <w:r w:rsidR="00055332">
        <w:rPr>
          <w:rFonts w:ascii="Times New Roman" w:hAnsi="Times New Roman" w:cs="Times New Roman"/>
          <w:sz w:val="24"/>
          <w:szCs w:val="24"/>
          <w:lang w:val="en-US"/>
        </w:rPr>
        <w:t xml:space="preserve"> </w:t>
      </w:r>
      <w:proofErr w:type="spellStart"/>
      <w:r w:rsidR="00055332">
        <w:rPr>
          <w:rFonts w:ascii="Times New Roman" w:hAnsi="Times New Roman" w:cs="Times New Roman"/>
          <w:sz w:val="24"/>
          <w:szCs w:val="24"/>
          <w:lang w:val="en-US"/>
        </w:rPr>
        <w:t>Druscilla</w:t>
      </w:r>
      <w:proofErr w:type="spellEnd"/>
      <w:r w:rsidR="00055332">
        <w:rPr>
          <w:rFonts w:ascii="Times New Roman" w:hAnsi="Times New Roman" w:cs="Times New Roman"/>
          <w:sz w:val="24"/>
          <w:szCs w:val="24"/>
          <w:lang w:val="en-US"/>
        </w:rPr>
        <w:t xml:space="preserve"> L</w:t>
      </w:r>
    </w:p>
    <w:p w14:paraId="2F9F82AE" w14:textId="77777777" w:rsidR="00992412" w:rsidRPr="0013781B" w:rsidRDefault="00760E33"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2013</w:t>
      </w:r>
      <w:r w:rsidR="00992412" w:rsidRPr="0013781B">
        <w:rPr>
          <w:rFonts w:ascii="Times New Roman" w:hAnsi="Times New Roman" w:cs="Times New Roman"/>
          <w:sz w:val="24"/>
          <w:szCs w:val="24"/>
          <w:lang w:val="en-US"/>
        </w:rPr>
        <w:t xml:space="preserve"> “Distributing Political Power: The Constitutional Tribunal in Post-Authoritarian Chile”, en</w:t>
      </w:r>
      <w:r w:rsidRPr="0013781B">
        <w:rPr>
          <w:rFonts w:ascii="Times New Roman" w:hAnsi="Times New Roman" w:cs="Times New Roman"/>
          <w:sz w:val="24"/>
          <w:szCs w:val="24"/>
          <w:lang w:val="en-US"/>
        </w:rPr>
        <w:t xml:space="preserve"> </w:t>
      </w:r>
      <w:proofErr w:type="spellStart"/>
      <w:r w:rsidRPr="0013781B">
        <w:rPr>
          <w:rFonts w:ascii="Times New Roman" w:hAnsi="Times New Roman" w:cs="Times New Roman"/>
          <w:sz w:val="24"/>
          <w:szCs w:val="24"/>
          <w:lang w:val="en-US"/>
        </w:rPr>
        <w:t>Kapiszeuski</w:t>
      </w:r>
      <w:proofErr w:type="spellEnd"/>
      <w:r w:rsidRPr="0013781B">
        <w:rPr>
          <w:rFonts w:ascii="Times New Roman" w:hAnsi="Times New Roman" w:cs="Times New Roman"/>
          <w:sz w:val="24"/>
          <w:szCs w:val="24"/>
          <w:lang w:val="en-US"/>
        </w:rPr>
        <w:t xml:space="preserve">, Silverstein y </w:t>
      </w:r>
      <w:proofErr w:type="spellStart"/>
      <w:r w:rsidRPr="0013781B">
        <w:rPr>
          <w:rFonts w:ascii="Times New Roman" w:hAnsi="Times New Roman" w:cs="Times New Roman"/>
          <w:sz w:val="24"/>
          <w:szCs w:val="24"/>
          <w:lang w:val="en-US"/>
        </w:rPr>
        <w:t>Kagan</w:t>
      </w:r>
      <w:proofErr w:type="spellEnd"/>
      <w:r w:rsidRPr="0013781B">
        <w:rPr>
          <w:rFonts w:ascii="Times New Roman" w:hAnsi="Times New Roman" w:cs="Times New Roman"/>
          <w:sz w:val="24"/>
          <w:szCs w:val="24"/>
          <w:lang w:val="en-US"/>
        </w:rPr>
        <w:t xml:space="preserve">, </w:t>
      </w:r>
      <w:r w:rsidRPr="0013781B">
        <w:rPr>
          <w:rFonts w:ascii="Times New Roman" w:hAnsi="Times New Roman" w:cs="Times New Roman"/>
          <w:i/>
          <w:sz w:val="24"/>
          <w:szCs w:val="24"/>
          <w:lang w:val="en-US"/>
        </w:rPr>
        <w:t>Op. Cit.</w:t>
      </w:r>
    </w:p>
    <w:p w14:paraId="15650782" w14:textId="77777777" w:rsidR="00055332" w:rsidRDefault="007372E3" w:rsidP="00FA33BE">
      <w:pPr>
        <w:spacing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t>Sehnbruch</w:t>
      </w:r>
      <w:proofErr w:type="spellEnd"/>
      <w:r w:rsidRPr="0013781B">
        <w:rPr>
          <w:rFonts w:ascii="Times New Roman" w:hAnsi="Times New Roman" w:cs="Times New Roman"/>
          <w:sz w:val="24"/>
          <w:szCs w:val="24"/>
          <w:lang w:val="en-US"/>
        </w:rPr>
        <w:t xml:space="preserve"> y </w:t>
      </w:r>
      <w:proofErr w:type="spellStart"/>
      <w:r w:rsidRPr="0013781B">
        <w:rPr>
          <w:rFonts w:ascii="Times New Roman" w:hAnsi="Times New Roman" w:cs="Times New Roman"/>
          <w:sz w:val="24"/>
          <w:szCs w:val="24"/>
          <w:lang w:val="en-US"/>
        </w:rPr>
        <w:t>Siavelis</w:t>
      </w:r>
      <w:proofErr w:type="spellEnd"/>
      <w:r w:rsidRPr="0013781B">
        <w:rPr>
          <w:rFonts w:ascii="Times New Roman" w:hAnsi="Times New Roman" w:cs="Times New Roman"/>
          <w:sz w:val="24"/>
          <w:szCs w:val="24"/>
          <w:lang w:val="en-US"/>
        </w:rPr>
        <w:t xml:space="preserve"> (eds.)</w:t>
      </w:r>
    </w:p>
    <w:p w14:paraId="5FDDC5D7" w14:textId="77777777" w:rsidR="007372E3" w:rsidRPr="0013781B" w:rsidRDefault="007372E3"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 xml:space="preserve">2013 </w:t>
      </w:r>
      <w:r w:rsidRPr="0013781B">
        <w:rPr>
          <w:rFonts w:ascii="Times New Roman" w:hAnsi="Times New Roman" w:cs="Times New Roman"/>
          <w:i/>
          <w:sz w:val="24"/>
          <w:szCs w:val="24"/>
          <w:lang w:val="en-US"/>
        </w:rPr>
        <w:t xml:space="preserve">Democratic Chile: the politics and policies of a historic coalition, 1990-2010, </w:t>
      </w:r>
      <w:r w:rsidRPr="0013781B">
        <w:rPr>
          <w:rFonts w:ascii="Times New Roman" w:hAnsi="Times New Roman" w:cs="Times New Roman"/>
          <w:sz w:val="24"/>
          <w:szCs w:val="24"/>
          <w:lang w:val="en-US"/>
        </w:rPr>
        <w:t xml:space="preserve">Boulder, Lynne </w:t>
      </w:r>
      <w:proofErr w:type="spellStart"/>
      <w:r w:rsidRPr="0013781B">
        <w:rPr>
          <w:rFonts w:ascii="Times New Roman" w:hAnsi="Times New Roman" w:cs="Times New Roman"/>
          <w:sz w:val="24"/>
          <w:szCs w:val="24"/>
          <w:lang w:val="en-US"/>
        </w:rPr>
        <w:t>Rienner</w:t>
      </w:r>
      <w:proofErr w:type="spellEnd"/>
      <w:r w:rsidRPr="0013781B">
        <w:rPr>
          <w:rFonts w:ascii="Times New Roman" w:hAnsi="Times New Roman" w:cs="Times New Roman"/>
          <w:sz w:val="24"/>
          <w:szCs w:val="24"/>
          <w:lang w:val="en-US"/>
        </w:rPr>
        <w:t xml:space="preserve">, 2013. </w:t>
      </w:r>
    </w:p>
    <w:p w14:paraId="59FBAB1C" w14:textId="77777777" w:rsidR="00055332" w:rsidRDefault="00DD65B0"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Schatz, Sara</w:t>
      </w:r>
    </w:p>
    <w:p w14:paraId="26E0417E" w14:textId="77777777" w:rsidR="00DD65B0" w:rsidRPr="0013781B" w:rsidRDefault="00DD65B0" w:rsidP="00FA33BE">
      <w:pPr>
        <w:spacing w:line="240" w:lineRule="auto"/>
        <w:jc w:val="both"/>
        <w:rPr>
          <w:rFonts w:ascii="Times New Roman" w:hAnsi="Times New Roman" w:cs="Times New Roman"/>
          <w:sz w:val="24"/>
          <w:szCs w:val="24"/>
          <w:lang w:val="en-US"/>
        </w:rPr>
      </w:pPr>
      <w:r w:rsidRPr="0013781B">
        <w:rPr>
          <w:rFonts w:ascii="Times New Roman" w:hAnsi="Times New Roman" w:cs="Times New Roman"/>
          <w:sz w:val="24"/>
          <w:szCs w:val="24"/>
          <w:lang w:val="en-US"/>
        </w:rPr>
        <w:t>2000 “</w:t>
      </w:r>
      <w:r w:rsidR="00FD5976" w:rsidRPr="0013781B">
        <w:rPr>
          <w:rFonts w:ascii="Times New Roman" w:hAnsi="Times New Roman" w:cs="Times New Roman"/>
          <w:sz w:val="24"/>
          <w:szCs w:val="24"/>
          <w:lang w:val="en-US"/>
        </w:rPr>
        <w:t xml:space="preserve">The political context: nullifying the punitive Court´s legal formal rulings ant the attempt to continue the reign of informal, case-by-case justice”, in </w:t>
      </w:r>
      <w:r w:rsidRPr="0013781B">
        <w:rPr>
          <w:rFonts w:ascii="Times New Roman" w:hAnsi="Times New Roman" w:cs="Times New Roman"/>
          <w:sz w:val="24"/>
          <w:szCs w:val="24"/>
          <w:lang w:val="en-US"/>
        </w:rPr>
        <w:t xml:space="preserve">Masses and the struggle for democracy in Mexico: a cultural approach”, Westport, </w:t>
      </w:r>
      <w:proofErr w:type="spellStart"/>
      <w:r w:rsidRPr="0013781B">
        <w:rPr>
          <w:rFonts w:ascii="Times New Roman" w:hAnsi="Times New Roman" w:cs="Times New Roman"/>
          <w:sz w:val="24"/>
          <w:szCs w:val="24"/>
          <w:lang w:val="en-US"/>
        </w:rPr>
        <w:t>Praeger</w:t>
      </w:r>
      <w:proofErr w:type="spellEnd"/>
      <w:r w:rsidRPr="0013781B">
        <w:rPr>
          <w:rFonts w:ascii="Times New Roman" w:hAnsi="Times New Roman" w:cs="Times New Roman"/>
          <w:sz w:val="24"/>
          <w:szCs w:val="24"/>
          <w:lang w:val="en-US"/>
        </w:rPr>
        <w:t>.</w:t>
      </w:r>
    </w:p>
    <w:p w14:paraId="043D3CF8" w14:textId="77777777" w:rsidR="00055332" w:rsidRDefault="00F20B9C" w:rsidP="00FA33BE">
      <w:pPr>
        <w:autoSpaceDE w:val="0"/>
        <w:autoSpaceDN w:val="0"/>
        <w:adjustRightInd w:val="0"/>
        <w:spacing w:after="0" w:line="240" w:lineRule="auto"/>
        <w:jc w:val="both"/>
        <w:rPr>
          <w:rFonts w:ascii="Times New Roman" w:hAnsi="Times New Roman" w:cs="Times New Roman"/>
          <w:sz w:val="24"/>
          <w:szCs w:val="24"/>
          <w:lang w:val="en-US" w:eastAsia="es-MX"/>
        </w:rPr>
      </w:pPr>
      <w:proofErr w:type="spellStart"/>
      <w:r w:rsidRPr="0013781B">
        <w:rPr>
          <w:rFonts w:ascii="Times New Roman" w:hAnsi="Times New Roman" w:cs="Times New Roman"/>
          <w:sz w:val="24"/>
          <w:szCs w:val="24"/>
          <w:lang w:val="en-US" w:eastAsia="es-MX"/>
        </w:rPr>
        <w:t>Thelen</w:t>
      </w:r>
      <w:proofErr w:type="spellEnd"/>
      <w:r w:rsidRPr="0013781B">
        <w:rPr>
          <w:rFonts w:ascii="Times New Roman" w:hAnsi="Times New Roman" w:cs="Times New Roman"/>
          <w:sz w:val="24"/>
          <w:szCs w:val="24"/>
          <w:lang w:val="en-US" w:eastAsia="es-MX"/>
        </w:rPr>
        <w:t xml:space="preserve">, Kathleen </w:t>
      </w:r>
    </w:p>
    <w:p w14:paraId="3C58A06E" w14:textId="77777777" w:rsidR="00F20B9C" w:rsidRPr="0013781B" w:rsidRDefault="00F20B9C" w:rsidP="00FA33BE">
      <w:pPr>
        <w:autoSpaceDE w:val="0"/>
        <w:autoSpaceDN w:val="0"/>
        <w:adjustRightInd w:val="0"/>
        <w:spacing w:after="0" w:line="240" w:lineRule="auto"/>
        <w:jc w:val="both"/>
        <w:rPr>
          <w:rFonts w:ascii="Times New Roman" w:hAnsi="Times New Roman" w:cs="Times New Roman"/>
          <w:sz w:val="24"/>
          <w:szCs w:val="24"/>
          <w:lang w:val="en-US" w:eastAsia="es-MX"/>
        </w:rPr>
      </w:pPr>
      <w:proofErr w:type="gramStart"/>
      <w:r w:rsidRPr="0013781B">
        <w:rPr>
          <w:rFonts w:ascii="Times New Roman" w:hAnsi="Times New Roman" w:cs="Times New Roman"/>
          <w:sz w:val="24"/>
          <w:szCs w:val="24"/>
          <w:lang w:val="en-US" w:eastAsia="es-MX"/>
        </w:rPr>
        <w:t xml:space="preserve">1999 “Historical institutionalism in comparative politics”, </w:t>
      </w:r>
      <w:proofErr w:type="spellStart"/>
      <w:r w:rsidRPr="0013781B">
        <w:rPr>
          <w:rFonts w:ascii="Times New Roman" w:hAnsi="Times New Roman" w:cs="Times New Roman"/>
          <w:sz w:val="24"/>
          <w:szCs w:val="24"/>
          <w:lang w:val="en-US" w:eastAsia="es-MX"/>
        </w:rPr>
        <w:t>Annu</w:t>
      </w:r>
      <w:proofErr w:type="spellEnd"/>
      <w:r w:rsidRPr="0013781B">
        <w:rPr>
          <w:rFonts w:ascii="Times New Roman" w:hAnsi="Times New Roman" w:cs="Times New Roman"/>
          <w:sz w:val="24"/>
          <w:szCs w:val="24"/>
          <w:lang w:val="en-US" w:eastAsia="es-MX"/>
        </w:rPr>
        <w:t>.</w:t>
      </w:r>
      <w:proofErr w:type="gramEnd"/>
      <w:r w:rsidRPr="0013781B">
        <w:rPr>
          <w:rFonts w:ascii="Times New Roman" w:hAnsi="Times New Roman" w:cs="Times New Roman"/>
          <w:sz w:val="24"/>
          <w:szCs w:val="24"/>
          <w:lang w:val="en-US" w:eastAsia="es-MX"/>
        </w:rPr>
        <w:t xml:space="preserve"> </w:t>
      </w:r>
      <w:proofErr w:type="gramStart"/>
      <w:r w:rsidRPr="0013781B">
        <w:rPr>
          <w:rFonts w:ascii="Times New Roman" w:hAnsi="Times New Roman" w:cs="Times New Roman"/>
          <w:sz w:val="24"/>
          <w:szCs w:val="24"/>
          <w:lang w:val="en-US" w:eastAsia="es-MX"/>
        </w:rPr>
        <w:t>Rev. Polit. Sci., 2, Montreal, Concordia University, pp.369-404.</w:t>
      </w:r>
      <w:proofErr w:type="gramEnd"/>
    </w:p>
    <w:p w14:paraId="2F0F677D" w14:textId="77777777" w:rsidR="00F20B9C" w:rsidRPr="0013781B" w:rsidRDefault="00F20B9C" w:rsidP="00FA33BE">
      <w:pPr>
        <w:spacing w:line="240" w:lineRule="auto"/>
        <w:jc w:val="both"/>
        <w:rPr>
          <w:rFonts w:ascii="Times New Roman" w:hAnsi="Times New Roman" w:cs="Times New Roman"/>
          <w:sz w:val="24"/>
          <w:szCs w:val="24"/>
          <w:lang w:val="en-US"/>
        </w:rPr>
      </w:pPr>
    </w:p>
    <w:p w14:paraId="7D0203D8" w14:textId="77777777" w:rsidR="00055332" w:rsidRDefault="005F37F4" w:rsidP="00FA33BE">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13781B">
        <w:rPr>
          <w:rFonts w:ascii="Times New Roman" w:hAnsi="Times New Roman" w:cs="Times New Roman"/>
          <w:sz w:val="24"/>
          <w:szCs w:val="24"/>
          <w:lang w:val="en-US"/>
        </w:rPr>
        <w:lastRenderedPageBreak/>
        <w:t>Thelen</w:t>
      </w:r>
      <w:proofErr w:type="spellEnd"/>
    </w:p>
    <w:p w14:paraId="515A62B7" w14:textId="77777777" w:rsidR="005F37F4" w:rsidRPr="0013781B" w:rsidRDefault="005F37F4" w:rsidP="00FA33BE">
      <w:pPr>
        <w:autoSpaceDE w:val="0"/>
        <w:autoSpaceDN w:val="0"/>
        <w:adjustRightInd w:val="0"/>
        <w:spacing w:after="0" w:line="240" w:lineRule="auto"/>
        <w:jc w:val="both"/>
        <w:rPr>
          <w:rFonts w:ascii="Times New Roman" w:hAnsi="Times New Roman" w:cs="Times New Roman"/>
          <w:sz w:val="24"/>
          <w:szCs w:val="24"/>
          <w:lang w:val="de-DE" w:eastAsia="es-MX"/>
        </w:rPr>
      </w:pPr>
      <w:r w:rsidRPr="0013781B">
        <w:rPr>
          <w:rFonts w:ascii="Times New Roman" w:hAnsi="Times New Roman" w:cs="Times New Roman"/>
          <w:sz w:val="24"/>
          <w:szCs w:val="24"/>
          <w:lang w:val="en-US"/>
        </w:rPr>
        <w:t>2002 “</w:t>
      </w:r>
      <w:r w:rsidRPr="0013781B">
        <w:rPr>
          <w:rFonts w:ascii="Times New Roman" w:hAnsi="Times New Roman" w:cs="Times New Roman"/>
          <w:sz w:val="24"/>
          <w:szCs w:val="24"/>
          <w:lang w:val="en-US" w:eastAsia="es-MX"/>
        </w:rPr>
        <w:t xml:space="preserve">The Explanatory Power of Historical Institutionalism” en Renate </w:t>
      </w:r>
      <w:proofErr w:type="spellStart"/>
      <w:r w:rsidRPr="0013781B">
        <w:rPr>
          <w:rFonts w:ascii="Times New Roman" w:hAnsi="Times New Roman" w:cs="Times New Roman"/>
          <w:sz w:val="24"/>
          <w:szCs w:val="24"/>
          <w:lang w:val="en-US" w:eastAsia="es-MX"/>
        </w:rPr>
        <w:t>Mayntz</w:t>
      </w:r>
      <w:proofErr w:type="spellEnd"/>
      <w:r w:rsidRPr="0013781B">
        <w:rPr>
          <w:rFonts w:ascii="Times New Roman" w:hAnsi="Times New Roman" w:cs="Times New Roman"/>
          <w:sz w:val="24"/>
          <w:szCs w:val="24"/>
          <w:lang w:val="en-US" w:eastAsia="es-MX"/>
        </w:rPr>
        <w:t xml:space="preserve"> (hg.) </w:t>
      </w:r>
      <w:r w:rsidRPr="0013781B">
        <w:rPr>
          <w:rFonts w:ascii="Times New Roman" w:hAnsi="Times New Roman" w:cs="Times New Roman"/>
          <w:i/>
          <w:sz w:val="24"/>
          <w:szCs w:val="24"/>
          <w:lang w:val="de-DE" w:eastAsia="es-MX"/>
        </w:rPr>
        <w:t>Akteure, Mechanismen, Modelle. Zur Theoriefähigkeit makro-sozialer Analysen</w:t>
      </w:r>
      <w:r w:rsidRPr="0013781B">
        <w:rPr>
          <w:rFonts w:ascii="Times New Roman" w:hAnsi="Times New Roman" w:cs="Times New Roman"/>
          <w:sz w:val="24"/>
          <w:szCs w:val="24"/>
          <w:lang w:val="de-DE" w:eastAsia="es-MX"/>
        </w:rPr>
        <w:t>, Frankfurt, Campus Verlag, pp. 91-107.</w:t>
      </w:r>
    </w:p>
    <w:p w14:paraId="1389DA07" w14:textId="77777777" w:rsidR="00F20B9C" w:rsidRPr="0013781B" w:rsidRDefault="00F20B9C" w:rsidP="00FA33BE">
      <w:pPr>
        <w:autoSpaceDE w:val="0"/>
        <w:autoSpaceDN w:val="0"/>
        <w:adjustRightInd w:val="0"/>
        <w:spacing w:after="0" w:line="240" w:lineRule="auto"/>
        <w:jc w:val="both"/>
        <w:rPr>
          <w:rFonts w:ascii="Times New Roman" w:hAnsi="Times New Roman" w:cs="Times New Roman"/>
          <w:sz w:val="24"/>
          <w:szCs w:val="24"/>
          <w:lang w:val="de-DE" w:eastAsia="es-MX"/>
        </w:rPr>
      </w:pPr>
    </w:p>
    <w:p w14:paraId="2A7E0653" w14:textId="77777777" w:rsidR="00055332" w:rsidRDefault="00F20B9C" w:rsidP="00FA33BE">
      <w:pPr>
        <w:autoSpaceDE w:val="0"/>
        <w:autoSpaceDN w:val="0"/>
        <w:adjustRightInd w:val="0"/>
        <w:spacing w:after="0" w:line="240" w:lineRule="auto"/>
        <w:jc w:val="both"/>
        <w:rPr>
          <w:rFonts w:ascii="Times New Roman" w:hAnsi="Times New Roman" w:cs="Times New Roman"/>
          <w:sz w:val="24"/>
          <w:szCs w:val="24"/>
          <w:lang w:val="en-US" w:eastAsia="es-MX"/>
        </w:rPr>
      </w:pPr>
      <w:proofErr w:type="spellStart"/>
      <w:r w:rsidRPr="0013781B">
        <w:rPr>
          <w:rFonts w:ascii="Times New Roman" w:hAnsi="Times New Roman" w:cs="Times New Roman"/>
          <w:sz w:val="24"/>
          <w:szCs w:val="24"/>
          <w:lang w:val="en-US" w:eastAsia="es-MX"/>
        </w:rPr>
        <w:t>Thelen</w:t>
      </w:r>
      <w:proofErr w:type="spellEnd"/>
      <w:r w:rsidRPr="0013781B">
        <w:rPr>
          <w:rFonts w:ascii="Times New Roman" w:hAnsi="Times New Roman" w:cs="Times New Roman"/>
          <w:sz w:val="24"/>
          <w:szCs w:val="24"/>
          <w:lang w:val="en-US" w:eastAsia="es-MX"/>
        </w:rPr>
        <w:t>, Kathleen</w:t>
      </w:r>
    </w:p>
    <w:p w14:paraId="3FC57871" w14:textId="77777777" w:rsidR="00F20B9C" w:rsidRPr="0013781B" w:rsidRDefault="00F20B9C" w:rsidP="00FA33BE">
      <w:pPr>
        <w:autoSpaceDE w:val="0"/>
        <w:autoSpaceDN w:val="0"/>
        <w:adjustRightInd w:val="0"/>
        <w:spacing w:after="0" w:line="240" w:lineRule="auto"/>
        <w:jc w:val="both"/>
        <w:rPr>
          <w:rFonts w:ascii="Times New Roman" w:hAnsi="Times New Roman" w:cs="Times New Roman"/>
          <w:sz w:val="24"/>
          <w:szCs w:val="24"/>
          <w:lang w:val="en-US" w:eastAsia="es-MX"/>
        </w:rPr>
      </w:pPr>
      <w:r w:rsidRPr="0013781B">
        <w:rPr>
          <w:rFonts w:ascii="Times New Roman" w:hAnsi="Times New Roman" w:cs="Times New Roman"/>
          <w:sz w:val="24"/>
          <w:szCs w:val="24"/>
          <w:lang w:val="en-US" w:eastAsia="es-MX"/>
        </w:rPr>
        <w:t xml:space="preserve">2006 “The evolution of vocational training in Germany”, en </w:t>
      </w:r>
      <w:proofErr w:type="spellStart"/>
      <w:r w:rsidRPr="0013781B">
        <w:rPr>
          <w:rFonts w:ascii="Times New Roman" w:hAnsi="Times New Roman" w:cs="Times New Roman"/>
          <w:sz w:val="24"/>
          <w:szCs w:val="24"/>
          <w:lang w:val="en-US" w:eastAsia="es-MX"/>
        </w:rPr>
        <w:t>Saphiro</w:t>
      </w:r>
      <w:proofErr w:type="spellEnd"/>
      <w:r w:rsidRPr="0013781B">
        <w:rPr>
          <w:rFonts w:ascii="Times New Roman" w:hAnsi="Times New Roman" w:cs="Times New Roman"/>
          <w:sz w:val="24"/>
          <w:szCs w:val="24"/>
          <w:lang w:val="en-US" w:eastAsia="es-MX"/>
        </w:rPr>
        <w:t xml:space="preserve">, </w:t>
      </w:r>
      <w:proofErr w:type="spellStart"/>
      <w:proofErr w:type="gramStart"/>
      <w:r w:rsidRPr="0013781B">
        <w:rPr>
          <w:rFonts w:ascii="Times New Roman" w:hAnsi="Times New Roman" w:cs="Times New Roman"/>
          <w:sz w:val="24"/>
          <w:szCs w:val="24"/>
          <w:lang w:val="en-US" w:eastAsia="es-MX"/>
        </w:rPr>
        <w:t>Skowronek</w:t>
      </w:r>
      <w:proofErr w:type="spellEnd"/>
      <w:r w:rsidR="00700A09" w:rsidRPr="0013781B">
        <w:rPr>
          <w:rFonts w:ascii="Times New Roman" w:hAnsi="Times New Roman" w:cs="Times New Roman"/>
          <w:sz w:val="24"/>
          <w:szCs w:val="24"/>
          <w:lang w:val="en-US" w:eastAsia="es-MX"/>
        </w:rPr>
        <w:t xml:space="preserve"> </w:t>
      </w:r>
      <w:r w:rsidRPr="0013781B">
        <w:rPr>
          <w:rFonts w:ascii="Times New Roman" w:hAnsi="Times New Roman" w:cs="Times New Roman"/>
          <w:sz w:val="24"/>
          <w:szCs w:val="24"/>
          <w:lang w:val="en-US" w:eastAsia="es-MX"/>
        </w:rPr>
        <w:t xml:space="preserve"> y</w:t>
      </w:r>
      <w:proofErr w:type="gramEnd"/>
      <w:r w:rsidRPr="0013781B">
        <w:rPr>
          <w:rFonts w:ascii="Times New Roman" w:hAnsi="Times New Roman" w:cs="Times New Roman"/>
          <w:sz w:val="24"/>
          <w:szCs w:val="24"/>
          <w:lang w:val="en-US" w:eastAsia="es-MX"/>
        </w:rPr>
        <w:t xml:space="preserve"> Galvin (eds.), </w:t>
      </w:r>
      <w:r w:rsidRPr="0013781B">
        <w:rPr>
          <w:rFonts w:ascii="Times New Roman" w:hAnsi="Times New Roman" w:cs="Times New Roman"/>
          <w:i/>
          <w:sz w:val="24"/>
          <w:szCs w:val="24"/>
          <w:lang w:val="en-US" w:eastAsia="es-MX"/>
        </w:rPr>
        <w:t>Rethinking political institutions: the art of the State</w:t>
      </w:r>
      <w:r w:rsidRPr="0013781B">
        <w:rPr>
          <w:rFonts w:ascii="Times New Roman" w:hAnsi="Times New Roman" w:cs="Times New Roman"/>
          <w:sz w:val="24"/>
          <w:szCs w:val="24"/>
          <w:lang w:val="en-US" w:eastAsia="es-MX"/>
        </w:rPr>
        <w:t>, Nueva York, New York University Press, 2006, pp. 135-170.</w:t>
      </w:r>
    </w:p>
    <w:p w14:paraId="15AA5C2C" w14:textId="77777777" w:rsidR="00F20B9C" w:rsidRPr="0013781B" w:rsidRDefault="00F20B9C" w:rsidP="00FA33BE">
      <w:pPr>
        <w:autoSpaceDE w:val="0"/>
        <w:autoSpaceDN w:val="0"/>
        <w:adjustRightInd w:val="0"/>
        <w:spacing w:after="0" w:line="240" w:lineRule="auto"/>
        <w:jc w:val="both"/>
        <w:rPr>
          <w:rFonts w:ascii="Times New Roman" w:hAnsi="Times New Roman" w:cs="Times New Roman"/>
          <w:sz w:val="24"/>
          <w:szCs w:val="24"/>
          <w:lang w:val="en-US" w:eastAsia="es-MX"/>
        </w:rPr>
      </w:pPr>
    </w:p>
    <w:sectPr w:rsidR="00F20B9C" w:rsidRPr="0013781B" w:rsidSect="005B4D6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CA0F9" w14:textId="77777777" w:rsidR="00162C9D" w:rsidRDefault="00162C9D" w:rsidP="00855C2C">
      <w:pPr>
        <w:spacing w:after="0" w:line="240" w:lineRule="auto"/>
      </w:pPr>
      <w:r>
        <w:separator/>
      </w:r>
    </w:p>
  </w:endnote>
  <w:endnote w:type="continuationSeparator" w:id="0">
    <w:p w14:paraId="31F4EE1B" w14:textId="77777777" w:rsidR="00162C9D" w:rsidRDefault="00162C9D" w:rsidP="0085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EC4A6" w14:textId="77777777" w:rsidR="00162C9D" w:rsidRDefault="00162C9D" w:rsidP="00855C2C">
      <w:pPr>
        <w:spacing w:after="0" w:line="240" w:lineRule="auto"/>
      </w:pPr>
      <w:r>
        <w:separator/>
      </w:r>
    </w:p>
  </w:footnote>
  <w:footnote w:type="continuationSeparator" w:id="0">
    <w:p w14:paraId="1A578348" w14:textId="77777777" w:rsidR="00162C9D" w:rsidRDefault="00162C9D" w:rsidP="00855C2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C4E38"/>
    <w:multiLevelType w:val="hybridMultilevel"/>
    <w:tmpl w:val="717AD0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4A"/>
    <w:rsid w:val="00000257"/>
    <w:rsid w:val="00003890"/>
    <w:rsid w:val="00013A8E"/>
    <w:rsid w:val="00022CF6"/>
    <w:rsid w:val="00024DE6"/>
    <w:rsid w:val="00043766"/>
    <w:rsid w:val="00043EBE"/>
    <w:rsid w:val="000449C2"/>
    <w:rsid w:val="00055332"/>
    <w:rsid w:val="000613D3"/>
    <w:rsid w:val="000655D1"/>
    <w:rsid w:val="000735E5"/>
    <w:rsid w:val="000B7982"/>
    <w:rsid w:val="000C0C83"/>
    <w:rsid w:val="000C2342"/>
    <w:rsid w:val="000C5848"/>
    <w:rsid w:val="000D00D4"/>
    <w:rsid w:val="000D1AA3"/>
    <w:rsid w:val="000D263A"/>
    <w:rsid w:val="000D37DC"/>
    <w:rsid w:val="000D4068"/>
    <w:rsid w:val="000F2F33"/>
    <w:rsid w:val="00123EE5"/>
    <w:rsid w:val="00124CAD"/>
    <w:rsid w:val="0013781B"/>
    <w:rsid w:val="00162C9D"/>
    <w:rsid w:val="00165158"/>
    <w:rsid w:val="00172B53"/>
    <w:rsid w:val="00173E46"/>
    <w:rsid w:val="00175CF9"/>
    <w:rsid w:val="0017643E"/>
    <w:rsid w:val="001A1A5A"/>
    <w:rsid w:val="001A23CC"/>
    <w:rsid w:val="001B0C93"/>
    <w:rsid w:val="001C2C54"/>
    <w:rsid w:val="001C5DC2"/>
    <w:rsid w:val="001D524A"/>
    <w:rsid w:val="001E46CC"/>
    <w:rsid w:val="001F6AB4"/>
    <w:rsid w:val="00206350"/>
    <w:rsid w:val="00220CE8"/>
    <w:rsid w:val="002257EB"/>
    <w:rsid w:val="002341B6"/>
    <w:rsid w:val="0024169B"/>
    <w:rsid w:val="00247375"/>
    <w:rsid w:val="00252F82"/>
    <w:rsid w:val="00253BAA"/>
    <w:rsid w:val="00253FB3"/>
    <w:rsid w:val="00256BB3"/>
    <w:rsid w:val="00256C83"/>
    <w:rsid w:val="00257367"/>
    <w:rsid w:val="00282378"/>
    <w:rsid w:val="002925C7"/>
    <w:rsid w:val="00293637"/>
    <w:rsid w:val="00296F97"/>
    <w:rsid w:val="002A101B"/>
    <w:rsid w:val="002A3A8B"/>
    <w:rsid w:val="002B6E61"/>
    <w:rsid w:val="002E424F"/>
    <w:rsid w:val="00300AA2"/>
    <w:rsid w:val="00302E0A"/>
    <w:rsid w:val="003147E5"/>
    <w:rsid w:val="003160F6"/>
    <w:rsid w:val="00322690"/>
    <w:rsid w:val="003276D7"/>
    <w:rsid w:val="0033602A"/>
    <w:rsid w:val="00340B1C"/>
    <w:rsid w:val="00344B05"/>
    <w:rsid w:val="003511EE"/>
    <w:rsid w:val="00353227"/>
    <w:rsid w:val="0035701C"/>
    <w:rsid w:val="00362918"/>
    <w:rsid w:val="00364362"/>
    <w:rsid w:val="0036732A"/>
    <w:rsid w:val="0038511D"/>
    <w:rsid w:val="00390EA8"/>
    <w:rsid w:val="00392AAE"/>
    <w:rsid w:val="003A78CA"/>
    <w:rsid w:val="003A79D1"/>
    <w:rsid w:val="003B32CD"/>
    <w:rsid w:val="003C2DD1"/>
    <w:rsid w:val="003D6480"/>
    <w:rsid w:val="003E6317"/>
    <w:rsid w:val="003E66B2"/>
    <w:rsid w:val="003F1197"/>
    <w:rsid w:val="00400F77"/>
    <w:rsid w:val="0041118D"/>
    <w:rsid w:val="0041241C"/>
    <w:rsid w:val="00412A94"/>
    <w:rsid w:val="004169D5"/>
    <w:rsid w:val="00424822"/>
    <w:rsid w:val="00425858"/>
    <w:rsid w:val="00444BC7"/>
    <w:rsid w:val="00460048"/>
    <w:rsid w:val="00465D29"/>
    <w:rsid w:val="00471F93"/>
    <w:rsid w:val="00473AC2"/>
    <w:rsid w:val="00475DF3"/>
    <w:rsid w:val="0049202B"/>
    <w:rsid w:val="004D2E33"/>
    <w:rsid w:val="004F02B6"/>
    <w:rsid w:val="004F06BA"/>
    <w:rsid w:val="004F3634"/>
    <w:rsid w:val="005166DA"/>
    <w:rsid w:val="0052413C"/>
    <w:rsid w:val="005247EA"/>
    <w:rsid w:val="005307B6"/>
    <w:rsid w:val="00534FC1"/>
    <w:rsid w:val="005363B1"/>
    <w:rsid w:val="00540E24"/>
    <w:rsid w:val="005435A1"/>
    <w:rsid w:val="0054555B"/>
    <w:rsid w:val="005476CB"/>
    <w:rsid w:val="0056253C"/>
    <w:rsid w:val="00572428"/>
    <w:rsid w:val="00573F5A"/>
    <w:rsid w:val="0058228F"/>
    <w:rsid w:val="00583FD3"/>
    <w:rsid w:val="00586338"/>
    <w:rsid w:val="005A0842"/>
    <w:rsid w:val="005A120D"/>
    <w:rsid w:val="005B2AC6"/>
    <w:rsid w:val="005B41E5"/>
    <w:rsid w:val="005B48A8"/>
    <w:rsid w:val="005B4D6E"/>
    <w:rsid w:val="005B549A"/>
    <w:rsid w:val="005C230E"/>
    <w:rsid w:val="005D055D"/>
    <w:rsid w:val="005D3CCC"/>
    <w:rsid w:val="005D439C"/>
    <w:rsid w:val="005E3677"/>
    <w:rsid w:val="005E50C6"/>
    <w:rsid w:val="005E79E9"/>
    <w:rsid w:val="005F34E6"/>
    <w:rsid w:val="005F37F4"/>
    <w:rsid w:val="005F7D6C"/>
    <w:rsid w:val="00604306"/>
    <w:rsid w:val="006044A9"/>
    <w:rsid w:val="00604DC3"/>
    <w:rsid w:val="00610533"/>
    <w:rsid w:val="006208E2"/>
    <w:rsid w:val="00620AB7"/>
    <w:rsid w:val="006251EE"/>
    <w:rsid w:val="00632ED3"/>
    <w:rsid w:val="00637725"/>
    <w:rsid w:val="00641750"/>
    <w:rsid w:val="0066601F"/>
    <w:rsid w:val="00666EB3"/>
    <w:rsid w:val="00671A7F"/>
    <w:rsid w:val="00672970"/>
    <w:rsid w:val="00685094"/>
    <w:rsid w:val="00687542"/>
    <w:rsid w:val="0069091B"/>
    <w:rsid w:val="00691C97"/>
    <w:rsid w:val="00696C3F"/>
    <w:rsid w:val="006A11CC"/>
    <w:rsid w:val="006A1218"/>
    <w:rsid w:val="006A4284"/>
    <w:rsid w:val="006B5E76"/>
    <w:rsid w:val="006C3622"/>
    <w:rsid w:val="006D22AE"/>
    <w:rsid w:val="006D6E5B"/>
    <w:rsid w:val="006F505E"/>
    <w:rsid w:val="00700A09"/>
    <w:rsid w:val="00701A5B"/>
    <w:rsid w:val="00707B06"/>
    <w:rsid w:val="00717B64"/>
    <w:rsid w:val="00721076"/>
    <w:rsid w:val="007252B1"/>
    <w:rsid w:val="00733746"/>
    <w:rsid w:val="0073471F"/>
    <w:rsid w:val="007372E3"/>
    <w:rsid w:val="00741010"/>
    <w:rsid w:val="0074340F"/>
    <w:rsid w:val="00747AD0"/>
    <w:rsid w:val="0075070B"/>
    <w:rsid w:val="00760023"/>
    <w:rsid w:val="00760E33"/>
    <w:rsid w:val="00777101"/>
    <w:rsid w:val="007868CC"/>
    <w:rsid w:val="00793AF5"/>
    <w:rsid w:val="00796267"/>
    <w:rsid w:val="007A2BA4"/>
    <w:rsid w:val="007A5EAD"/>
    <w:rsid w:val="007B4735"/>
    <w:rsid w:val="007C2964"/>
    <w:rsid w:val="007C46AF"/>
    <w:rsid w:val="007C49C0"/>
    <w:rsid w:val="007D0123"/>
    <w:rsid w:val="007D3ACD"/>
    <w:rsid w:val="007D62AC"/>
    <w:rsid w:val="007E03A5"/>
    <w:rsid w:val="007E5FC8"/>
    <w:rsid w:val="0080046A"/>
    <w:rsid w:val="00810B2E"/>
    <w:rsid w:val="00820DA0"/>
    <w:rsid w:val="00835146"/>
    <w:rsid w:val="00847449"/>
    <w:rsid w:val="00850949"/>
    <w:rsid w:val="00850A23"/>
    <w:rsid w:val="00855C2C"/>
    <w:rsid w:val="00861AA8"/>
    <w:rsid w:val="00861B08"/>
    <w:rsid w:val="008705D3"/>
    <w:rsid w:val="00872043"/>
    <w:rsid w:val="00872F0F"/>
    <w:rsid w:val="00880ADB"/>
    <w:rsid w:val="00885628"/>
    <w:rsid w:val="00885E99"/>
    <w:rsid w:val="008925C5"/>
    <w:rsid w:val="008A1ED5"/>
    <w:rsid w:val="008A6867"/>
    <w:rsid w:val="008A7381"/>
    <w:rsid w:val="008C2F10"/>
    <w:rsid w:val="008D2BFF"/>
    <w:rsid w:val="008D42B4"/>
    <w:rsid w:val="008D5525"/>
    <w:rsid w:val="008F296B"/>
    <w:rsid w:val="008F45CF"/>
    <w:rsid w:val="00901E99"/>
    <w:rsid w:val="0090762F"/>
    <w:rsid w:val="0092000F"/>
    <w:rsid w:val="00935679"/>
    <w:rsid w:val="009418B4"/>
    <w:rsid w:val="009421F7"/>
    <w:rsid w:val="00942C87"/>
    <w:rsid w:val="00943E89"/>
    <w:rsid w:val="00945FCE"/>
    <w:rsid w:val="00946CD6"/>
    <w:rsid w:val="0095542D"/>
    <w:rsid w:val="00977AF5"/>
    <w:rsid w:val="00984E81"/>
    <w:rsid w:val="0098546D"/>
    <w:rsid w:val="00990C38"/>
    <w:rsid w:val="00990E61"/>
    <w:rsid w:val="00992412"/>
    <w:rsid w:val="00994A0A"/>
    <w:rsid w:val="009D4ABC"/>
    <w:rsid w:val="009E6E54"/>
    <w:rsid w:val="009F5C07"/>
    <w:rsid w:val="00A0136B"/>
    <w:rsid w:val="00A01EF8"/>
    <w:rsid w:val="00A12E14"/>
    <w:rsid w:val="00A15ADA"/>
    <w:rsid w:val="00A25D0F"/>
    <w:rsid w:val="00A26C00"/>
    <w:rsid w:val="00A30ACC"/>
    <w:rsid w:val="00A34159"/>
    <w:rsid w:val="00A4294E"/>
    <w:rsid w:val="00A52CE4"/>
    <w:rsid w:val="00A54830"/>
    <w:rsid w:val="00A56313"/>
    <w:rsid w:val="00A75CA8"/>
    <w:rsid w:val="00A80427"/>
    <w:rsid w:val="00A80AC9"/>
    <w:rsid w:val="00A81986"/>
    <w:rsid w:val="00A917EE"/>
    <w:rsid w:val="00AC6D19"/>
    <w:rsid w:val="00AE5124"/>
    <w:rsid w:val="00AF34F6"/>
    <w:rsid w:val="00AF4B64"/>
    <w:rsid w:val="00B0269A"/>
    <w:rsid w:val="00B115CF"/>
    <w:rsid w:val="00B20FA8"/>
    <w:rsid w:val="00B25317"/>
    <w:rsid w:val="00B27AE4"/>
    <w:rsid w:val="00B27D06"/>
    <w:rsid w:val="00B4185D"/>
    <w:rsid w:val="00B4505F"/>
    <w:rsid w:val="00B55779"/>
    <w:rsid w:val="00B55ADA"/>
    <w:rsid w:val="00B6041D"/>
    <w:rsid w:val="00B64A98"/>
    <w:rsid w:val="00B66DED"/>
    <w:rsid w:val="00B704D8"/>
    <w:rsid w:val="00B724FA"/>
    <w:rsid w:val="00B74854"/>
    <w:rsid w:val="00B82190"/>
    <w:rsid w:val="00B856D2"/>
    <w:rsid w:val="00BA1650"/>
    <w:rsid w:val="00BC174A"/>
    <w:rsid w:val="00BD34D3"/>
    <w:rsid w:val="00BF4068"/>
    <w:rsid w:val="00C067B5"/>
    <w:rsid w:val="00C2652E"/>
    <w:rsid w:val="00C32102"/>
    <w:rsid w:val="00C329B0"/>
    <w:rsid w:val="00C45261"/>
    <w:rsid w:val="00C4543D"/>
    <w:rsid w:val="00C7158A"/>
    <w:rsid w:val="00C7354B"/>
    <w:rsid w:val="00C9158F"/>
    <w:rsid w:val="00CA3039"/>
    <w:rsid w:val="00CA50B0"/>
    <w:rsid w:val="00CB4333"/>
    <w:rsid w:val="00CC6D50"/>
    <w:rsid w:val="00CD5EC7"/>
    <w:rsid w:val="00CE0DC1"/>
    <w:rsid w:val="00CE520E"/>
    <w:rsid w:val="00CE7463"/>
    <w:rsid w:val="00D07DC7"/>
    <w:rsid w:val="00D15B62"/>
    <w:rsid w:val="00D20192"/>
    <w:rsid w:val="00D40368"/>
    <w:rsid w:val="00D52841"/>
    <w:rsid w:val="00D600C6"/>
    <w:rsid w:val="00D62F3F"/>
    <w:rsid w:val="00D83D17"/>
    <w:rsid w:val="00D84804"/>
    <w:rsid w:val="00D92E32"/>
    <w:rsid w:val="00D94DCC"/>
    <w:rsid w:val="00DA277B"/>
    <w:rsid w:val="00DB6B98"/>
    <w:rsid w:val="00DD65B0"/>
    <w:rsid w:val="00DD79C0"/>
    <w:rsid w:val="00DF16E0"/>
    <w:rsid w:val="00DF6779"/>
    <w:rsid w:val="00E01B4F"/>
    <w:rsid w:val="00E07E57"/>
    <w:rsid w:val="00E1038C"/>
    <w:rsid w:val="00E305CD"/>
    <w:rsid w:val="00E31B8D"/>
    <w:rsid w:val="00E320F2"/>
    <w:rsid w:val="00E55EBD"/>
    <w:rsid w:val="00E61975"/>
    <w:rsid w:val="00E830D4"/>
    <w:rsid w:val="00E90450"/>
    <w:rsid w:val="00EA2C12"/>
    <w:rsid w:val="00EA3D2B"/>
    <w:rsid w:val="00EA6F0E"/>
    <w:rsid w:val="00EA7A3E"/>
    <w:rsid w:val="00EB5D22"/>
    <w:rsid w:val="00EC2BAD"/>
    <w:rsid w:val="00EC5495"/>
    <w:rsid w:val="00ED0B50"/>
    <w:rsid w:val="00ED23D0"/>
    <w:rsid w:val="00EE32A9"/>
    <w:rsid w:val="00EE33E7"/>
    <w:rsid w:val="00EF111F"/>
    <w:rsid w:val="00EF5BF9"/>
    <w:rsid w:val="00F14C97"/>
    <w:rsid w:val="00F20B9C"/>
    <w:rsid w:val="00F30ACB"/>
    <w:rsid w:val="00F32771"/>
    <w:rsid w:val="00F342EB"/>
    <w:rsid w:val="00F4096C"/>
    <w:rsid w:val="00F41AA3"/>
    <w:rsid w:val="00F41B4F"/>
    <w:rsid w:val="00F447BA"/>
    <w:rsid w:val="00F45217"/>
    <w:rsid w:val="00F4604B"/>
    <w:rsid w:val="00F52E09"/>
    <w:rsid w:val="00F67074"/>
    <w:rsid w:val="00F67EC0"/>
    <w:rsid w:val="00F71C04"/>
    <w:rsid w:val="00F726F7"/>
    <w:rsid w:val="00F77E55"/>
    <w:rsid w:val="00F81CE3"/>
    <w:rsid w:val="00F834C3"/>
    <w:rsid w:val="00F90C1B"/>
    <w:rsid w:val="00F9528D"/>
    <w:rsid w:val="00F97F0D"/>
    <w:rsid w:val="00FA33BE"/>
    <w:rsid w:val="00FA48DA"/>
    <w:rsid w:val="00FA5ECF"/>
    <w:rsid w:val="00FB497A"/>
    <w:rsid w:val="00FC08C5"/>
    <w:rsid w:val="00FC21D4"/>
    <w:rsid w:val="00FC67BB"/>
    <w:rsid w:val="00FD023B"/>
    <w:rsid w:val="00FD5976"/>
    <w:rsid w:val="00FD5B69"/>
    <w:rsid w:val="00FF392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C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64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855C2C"/>
    <w:pPr>
      <w:spacing w:after="0" w:line="240" w:lineRule="auto"/>
    </w:pPr>
    <w:rPr>
      <w:sz w:val="20"/>
      <w:szCs w:val="20"/>
    </w:rPr>
  </w:style>
  <w:style w:type="character" w:customStyle="1" w:styleId="TextonotapieCar">
    <w:name w:val="Texto nota pie Car"/>
    <w:basedOn w:val="Fuentedeprrafopredeter"/>
    <w:link w:val="Textonotapie"/>
    <w:uiPriority w:val="99"/>
    <w:rsid w:val="00855C2C"/>
    <w:rPr>
      <w:sz w:val="20"/>
      <w:szCs w:val="20"/>
    </w:rPr>
  </w:style>
  <w:style w:type="character" w:styleId="Refdenotaalpie">
    <w:name w:val="footnote reference"/>
    <w:basedOn w:val="Fuentedeprrafopredeter"/>
    <w:uiPriority w:val="99"/>
    <w:semiHidden/>
    <w:unhideWhenUsed/>
    <w:rsid w:val="00855C2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64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855C2C"/>
    <w:pPr>
      <w:spacing w:after="0" w:line="240" w:lineRule="auto"/>
    </w:pPr>
    <w:rPr>
      <w:sz w:val="20"/>
      <w:szCs w:val="20"/>
    </w:rPr>
  </w:style>
  <w:style w:type="character" w:customStyle="1" w:styleId="TextonotapieCar">
    <w:name w:val="Texto nota pie Car"/>
    <w:basedOn w:val="Fuentedeprrafopredeter"/>
    <w:link w:val="Textonotapie"/>
    <w:uiPriority w:val="99"/>
    <w:rsid w:val="00855C2C"/>
    <w:rPr>
      <w:sz w:val="20"/>
      <w:szCs w:val="20"/>
    </w:rPr>
  </w:style>
  <w:style w:type="character" w:styleId="Refdenotaalpie">
    <w:name w:val="footnote reference"/>
    <w:basedOn w:val="Fuentedeprrafopredeter"/>
    <w:uiPriority w:val="99"/>
    <w:semiHidden/>
    <w:unhideWhenUsed/>
    <w:rsid w:val="0085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B1C3-A84C-DE49-85BE-B8A63302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8426</Words>
  <Characters>46343</Characters>
  <Application>Microsoft Macintosh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Mario</cp:lastModifiedBy>
  <cp:revision>2</cp:revision>
  <dcterms:created xsi:type="dcterms:W3CDTF">2016-02-03T19:42:00Z</dcterms:created>
  <dcterms:modified xsi:type="dcterms:W3CDTF">2016-02-03T19:42:00Z</dcterms:modified>
</cp:coreProperties>
</file>