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1D" w:rsidRDefault="00043B1D" w:rsidP="00FA11F5">
      <w:pPr>
        <w:jc w:val="both"/>
        <w:rPr>
          <w:rFonts w:ascii="Times New Roman" w:hAnsi="Times New Roman" w:cs="Times New Roman"/>
          <w:sz w:val="28"/>
          <w:szCs w:val="28"/>
        </w:rPr>
      </w:pPr>
    </w:p>
    <w:p w:rsidR="003D1092" w:rsidRDefault="003D1092" w:rsidP="00642948">
      <w:pPr>
        <w:spacing w:after="0" w:line="360" w:lineRule="auto"/>
        <w:jc w:val="center"/>
        <w:rPr>
          <w:rFonts w:ascii="Times New Roman" w:hAnsi="Times New Roman" w:cs="Times New Roman"/>
          <w:sz w:val="28"/>
          <w:szCs w:val="28"/>
        </w:rPr>
      </w:pPr>
    </w:p>
    <w:p w:rsidR="003D1092" w:rsidRDefault="003D1092" w:rsidP="00642948">
      <w:pPr>
        <w:spacing w:after="0" w:line="360" w:lineRule="auto"/>
        <w:jc w:val="center"/>
        <w:rPr>
          <w:rFonts w:ascii="Times New Roman" w:hAnsi="Times New Roman" w:cs="Times New Roman"/>
          <w:sz w:val="28"/>
          <w:szCs w:val="28"/>
        </w:rPr>
      </w:pPr>
    </w:p>
    <w:p w:rsidR="003D1092" w:rsidRDefault="003D1092" w:rsidP="00642948">
      <w:pPr>
        <w:spacing w:after="0" w:line="360" w:lineRule="auto"/>
        <w:jc w:val="center"/>
        <w:rPr>
          <w:rFonts w:ascii="Times New Roman" w:hAnsi="Times New Roman" w:cs="Times New Roman"/>
          <w:sz w:val="28"/>
          <w:szCs w:val="28"/>
        </w:rPr>
      </w:pPr>
    </w:p>
    <w:p w:rsidR="003D1092" w:rsidRDefault="003D1092" w:rsidP="00642948">
      <w:pPr>
        <w:spacing w:after="0" w:line="360" w:lineRule="auto"/>
        <w:jc w:val="center"/>
        <w:rPr>
          <w:rFonts w:ascii="Times New Roman" w:hAnsi="Times New Roman" w:cs="Times New Roman"/>
          <w:sz w:val="28"/>
          <w:szCs w:val="28"/>
        </w:rPr>
      </w:pPr>
    </w:p>
    <w:p w:rsidR="003D1092" w:rsidRDefault="003D1092" w:rsidP="00642948">
      <w:pPr>
        <w:spacing w:after="0" w:line="360" w:lineRule="auto"/>
        <w:jc w:val="center"/>
        <w:rPr>
          <w:rFonts w:ascii="Times New Roman" w:hAnsi="Times New Roman" w:cs="Times New Roman"/>
          <w:sz w:val="28"/>
          <w:szCs w:val="28"/>
        </w:rPr>
      </w:pPr>
    </w:p>
    <w:p w:rsidR="003D1092" w:rsidRPr="003D1092" w:rsidRDefault="003D1092" w:rsidP="00642948">
      <w:pPr>
        <w:spacing w:after="0" w:line="360" w:lineRule="auto"/>
        <w:jc w:val="center"/>
        <w:rPr>
          <w:rFonts w:ascii="Times New Roman" w:hAnsi="Times New Roman" w:cs="Times New Roman"/>
          <w:b/>
          <w:sz w:val="36"/>
          <w:szCs w:val="36"/>
        </w:rPr>
      </w:pPr>
    </w:p>
    <w:p w:rsidR="00E9608A" w:rsidRDefault="00E9608A" w:rsidP="00642948">
      <w:pPr>
        <w:spacing w:after="0" w:line="360" w:lineRule="auto"/>
        <w:jc w:val="center"/>
        <w:rPr>
          <w:rFonts w:ascii="Times New Roman" w:hAnsi="Times New Roman" w:cs="Times New Roman"/>
          <w:b/>
          <w:sz w:val="36"/>
          <w:szCs w:val="36"/>
        </w:rPr>
      </w:pPr>
      <w:r w:rsidRPr="003D1092">
        <w:rPr>
          <w:rFonts w:ascii="Times New Roman" w:hAnsi="Times New Roman" w:cs="Times New Roman"/>
          <w:b/>
          <w:sz w:val="36"/>
          <w:szCs w:val="36"/>
        </w:rPr>
        <w:t xml:space="preserve">LAS REMESAS, EL </w:t>
      </w:r>
      <w:r w:rsidR="0052714F">
        <w:rPr>
          <w:rFonts w:ascii="Times New Roman" w:hAnsi="Times New Roman" w:cs="Times New Roman"/>
          <w:b/>
          <w:sz w:val="36"/>
          <w:szCs w:val="36"/>
        </w:rPr>
        <w:t>¿</w:t>
      </w:r>
      <w:r w:rsidR="00FF0546" w:rsidRPr="003D1092">
        <w:rPr>
          <w:rFonts w:ascii="Times New Roman" w:hAnsi="Times New Roman" w:cs="Times New Roman"/>
          <w:b/>
          <w:sz w:val="36"/>
          <w:szCs w:val="36"/>
        </w:rPr>
        <w:t>SÓLIDO</w:t>
      </w:r>
      <w:r w:rsidR="0052714F">
        <w:rPr>
          <w:rFonts w:ascii="Times New Roman" w:hAnsi="Times New Roman" w:cs="Times New Roman"/>
          <w:b/>
          <w:sz w:val="36"/>
          <w:szCs w:val="36"/>
        </w:rPr>
        <w:t>?</w:t>
      </w:r>
      <w:r w:rsidRPr="003D1092">
        <w:rPr>
          <w:rFonts w:ascii="Times New Roman" w:hAnsi="Times New Roman" w:cs="Times New Roman"/>
          <w:b/>
          <w:sz w:val="36"/>
          <w:szCs w:val="36"/>
        </w:rPr>
        <w:t xml:space="preserve"> PILAR DE UN MODELO INVIABLE (la captación de divisas en tiempos del TLCAN)</w:t>
      </w:r>
    </w:p>
    <w:p w:rsidR="003D1092" w:rsidRDefault="003D1092" w:rsidP="00642948">
      <w:pPr>
        <w:spacing w:after="0" w:line="360" w:lineRule="auto"/>
        <w:jc w:val="center"/>
        <w:rPr>
          <w:rFonts w:ascii="Times New Roman" w:hAnsi="Times New Roman" w:cs="Times New Roman"/>
          <w:b/>
          <w:sz w:val="36"/>
          <w:szCs w:val="36"/>
        </w:rPr>
      </w:pPr>
    </w:p>
    <w:p w:rsidR="003D1092" w:rsidRDefault="003D1092" w:rsidP="00642948">
      <w:pPr>
        <w:spacing w:after="0" w:line="360" w:lineRule="auto"/>
        <w:jc w:val="center"/>
        <w:rPr>
          <w:rFonts w:ascii="Times New Roman" w:hAnsi="Times New Roman" w:cs="Times New Roman"/>
          <w:b/>
          <w:sz w:val="36"/>
          <w:szCs w:val="36"/>
        </w:rPr>
      </w:pPr>
    </w:p>
    <w:p w:rsidR="003D1092" w:rsidRPr="003D1092" w:rsidRDefault="003D1092" w:rsidP="00642948">
      <w:pPr>
        <w:spacing w:after="0" w:line="360" w:lineRule="auto"/>
        <w:jc w:val="center"/>
        <w:rPr>
          <w:rFonts w:ascii="Times New Roman" w:hAnsi="Times New Roman" w:cs="Times New Roman"/>
          <w:b/>
          <w:sz w:val="36"/>
          <w:szCs w:val="36"/>
        </w:rPr>
      </w:pPr>
    </w:p>
    <w:p w:rsidR="003054F3" w:rsidRDefault="003054F3" w:rsidP="003923FB">
      <w:pPr>
        <w:spacing w:after="0" w:line="240" w:lineRule="auto"/>
        <w:jc w:val="right"/>
        <w:rPr>
          <w:rFonts w:ascii="Times New Roman" w:hAnsi="Times New Roman" w:cs="Times New Roman"/>
          <w:sz w:val="24"/>
          <w:szCs w:val="24"/>
        </w:rPr>
      </w:pPr>
    </w:p>
    <w:p w:rsidR="006F50E4" w:rsidRDefault="007968DF" w:rsidP="007968D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junio</w:t>
      </w:r>
      <w:r w:rsidR="003923FB" w:rsidRPr="003D1092">
        <w:rPr>
          <w:rFonts w:ascii="Times New Roman" w:hAnsi="Times New Roman" w:cs="Times New Roman"/>
          <w:sz w:val="32"/>
          <w:szCs w:val="32"/>
        </w:rPr>
        <w:t xml:space="preserve"> de 2015</w:t>
      </w:r>
    </w:p>
    <w:p w:rsidR="006F50E4" w:rsidRDefault="006F50E4">
      <w:pPr>
        <w:rPr>
          <w:rFonts w:ascii="Times New Roman" w:hAnsi="Times New Roman" w:cs="Times New Roman"/>
          <w:sz w:val="32"/>
          <w:szCs w:val="32"/>
        </w:rPr>
      </w:pPr>
      <w:r>
        <w:rPr>
          <w:rFonts w:ascii="Times New Roman" w:hAnsi="Times New Roman" w:cs="Times New Roman"/>
          <w:sz w:val="32"/>
          <w:szCs w:val="32"/>
        </w:rPr>
        <w:br w:type="page"/>
      </w:r>
    </w:p>
    <w:p w:rsidR="006F50E4" w:rsidRPr="006F50E4" w:rsidRDefault="006F50E4" w:rsidP="006F50E4">
      <w:pPr>
        <w:spacing w:after="0" w:line="360" w:lineRule="auto"/>
        <w:jc w:val="both"/>
        <w:rPr>
          <w:rFonts w:ascii="Times New Roman" w:hAnsi="Times New Roman" w:cs="Times New Roman"/>
          <w:b/>
          <w:sz w:val="24"/>
          <w:szCs w:val="24"/>
        </w:rPr>
      </w:pPr>
      <w:r w:rsidRPr="006F50E4">
        <w:rPr>
          <w:rFonts w:ascii="Times New Roman" w:hAnsi="Times New Roman" w:cs="Times New Roman"/>
          <w:b/>
          <w:sz w:val="24"/>
          <w:szCs w:val="24"/>
        </w:rPr>
        <w:lastRenderedPageBreak/>
        <w:t>Resumen:</w:t>
      </w:r>
    </w:p>
    <w:p w:rsidR="006F50E4" w:rsidRDefault="006F50E4" w:rsidP="006F50E4">
      <w:pPr>
        <w:spacing w:after="0" w:line="360" w:lineRule="auto"/>
        <w:jc w:val="both"/>
        <w:rPr>
          <w:rFonts w:ascii="Times New Roman" w:hAnsi="Times New Roman" w:cs="Times New Roman"/>
          <w:sz w:val="28"/>
          <w:szCs w:val="28"/>
        </w:rPr>
      </w:pPr>
      <w:r w:rsidRPr="003D7DD9">
        <w:rPr>
          <w:rFonts w:ascii="Times New Roman" w:hAnsi="Times New Roman" w:cs="Times New Roman"/>
          <w:i/>
          <w:sz w:val="24"/>
          <w:szCs w:val="24"/>
        </w:rPr>
        <w:t xml:space="preserve">Este artículo trata de: </w:t>
      </w:r>
      <w:r>
        <w:rPr>
          <w:rFonts w:ascii="Times New Roman" w:hAnsi="Times New Roman" w:cs="Times New Roman"/>
          <w:i/>
          <w:sz w:val="24"/>
          <w:szCs w:val="24"/>
        </w:rPr>
        <w:t>l</w:t>
      </w:r>
      <w:r w:rsidRPr="003D7DD9">
        <w:rPr>
          <w:rFonts w:ascii="Times New Roman" w:hAnsi="Times New Roman" w:cs="Times New Roman"/>
          <w:i/>
          <w:sz w:val="24"/>
          <w:szCs w:val="24"/>
        </w:rPr>
        <w:t xml:space="preserve">a inviabilidad de un modelo basado en la exportación masiva de trabajo barato, vulnerable y </w:t>
      </w:r>
      <w:r w:rsidRPr="00384B31">
        <w:rPr>
          <w:rFonts w:ascii="Times New Roman" w:hAnsi="Times New Roman" w:cs="Times New Roman"/>
          <w:i/>
          <w:sz w:val="24"/>
          <w:szCs w:val="24"/>
        </w:rPr>
        <w:t>flexible y de</w:t>
      </w:r>
      <w:r w:rsidRPr="003D7DD9">
        <w:rPr>
          <w:rFonts w:ascii="Times New Roman" w:hAnsi="Times New Roman" w:cs="Times New Roman"/>
          <w:sz w:val="24"/>
          <w:szCs w:val="24"/>
        </w:rPr>
        <w:t xml:space="preserve"> </w:t>
      </w:r>
      <w:r w:rsidRPr="003D7DD9">
        <w:rPr>
          <w:rFonts w:ascii="Times New Roman" w:hAnsi="Times New Roman" w:cs="Times New Roman"/>
          <w:i/>
          <w:sz w:val="24"/>
          <w:szCs w:val="24"/>
        </w:rPr>
        <w:t xml:space="preserve"> la incertidumbre creciente sobre el futuro de las remesas (el salario transferido a México por los migrantes) como uno de los pilares básicos para la captación de divisas; y la inoperancia creciente de otros de los supuestos pilares complementarios: el petróleo, la Inversión Extranjera Directa y el turismo</w:t>
      </w:r>
      <w:r w:rsidRPr="00B11D00">
        <w:rPr>
          <w:rFonts w:ascii="Times New Roman" w:hAnsi="Times New Roman" w:cs="Times New Roman"/>
          <w:sz w:val="28"/>
          <w:szCs w:val="28"/>
        </w:rPr>
        <w:t>.</w:t>
      </w:r>
    </w:p>
    <w:p w:rsidR="006F50E4" w:rsidRPr="006F50E4" w:rsidRDefault="006F50E4" w:rsidP="006F5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Pr="006F50E4">
        <w:rPr>
          <w:rFonts w:ascii="Times New Roman" w:hAnsi="Times New Roman" w:cs="Times New Roman"/>
          <w:b/>
          <w:sz w:val="24"/>
          <w:szCs w:val="24"/>
        </w:rPr>
        <w:t>alabras clave:</w:t>
      </w:r>
    </w:p>
    <w:p w:rsidR="006F50E4" w:rsidRPr="003D7DD9" w:rsidRDefault="006F50E4" w:rsidP="006F50E4">
      <w:pPr>
        <w:spacing w:after="0" w:line="360" w:lineRule="auto"/>
        <w:jc w:val="both"/>
        <w:rPr>
          <w:rFonts w:ascii="Times New Roman" w:hAnsi="Times New Roman" w:cs="Times New Roman"/>
          <w:sz w:val="24"/>
          <w:szCs w:val="24"/>
        </w:rPr>
      </w:pPr>
      <w:r w:rsidRPr="003D7DD9">
        <w:rPr>
          <w:rFonts w:ascii="Times New Roman" w:hAnsi="Times New Roman" w:cs="Times New Roman"/>
          <w:sz w:val="24"/>
          <w:szCs w:val="24"/>
        </w:rPr>
        <w:t>migración, precariedad, neoliberalismo</w:t>
      </w:r>
      <w:r>
        <w:rPr>
          <w:rFonts w:ascii="Times New Roman" w:hAnsi="Times New Roman" w:cs="Times New Roman"/>
          <w:sz w:val="24"/>
          <w:szCs w:val="24"/>
        </w:rPr>
        <w:t>, capitales, turismo, petróleo</w:t>
      </w:r>
    </w:p>
    <w:p w:rsidR="006F50E4" w:rsidRDefault="006F50E4" w:rsidP="006F50E4">
      <w:pPr>
        <w:jc w:val="both"/>
        <w:rPr>
          <w:rFonts w:ascii="Times New Roman" w:hAnsi="Times New Roman" w:cs="Times New Roman"/>
          <w:sz w:val="28"/>
          <w:szCs w:val="28"/>
        </w:rPr>
      </w:pPr>
    </w:p>
    <w:p w:rsidR="006F50E4" w:rsidRPr="006F50E4" w:rsidRDefault="006F50E4" w:rsidP="006F50E4">
      <w:pPr>
        <w:jc w:val="both"/>
        <w:rPr>
          <w:rFonts w:ascii="Times New Roman" w:hAnsi="Times New Roman" w:cs="Times New Roman"/>
          <w:b/>
          <w:sz w:val="24"/>
          <w:szCs w:val="24"/>
        </w:rPr>
      </w:pPr>
      <w:r>
        <w:rPr>
          <w:rFonts w:ascii="Times New Roman" w:hAnsi="Times New Roman" w:cs="Times New Roman"/>
          <w:b/>
          <w:sz w:val="24"/>
          <w:szCs w:val="24"/>
        </w:rPr>
        <w:t>Datos personales</w:t>
      </w:r>
      <w:r w:rsidR="00B53343">
        <w:rPr>
          <w:rFonts w:ascii="Times New Roman" w:hAnsi="Times New Roman" w:cs="Times New Roman"/>
          <w:b/>
          <w:sz w:val="24"/>
          <w:szCs w:val="24"/>
        </w:rPr>
        <w:t xml:space="preserve"> del autor</w:t>
      </w:r>
      <w:r>
        <w:rPr>
          <w:rFonts w:ascii="Times New Roman" w:hAnsi="Times New Roman" w:cs="Times New Roman"/>
          <w:b/>
          <w:sz w:val="24"/>
          <w:szCs w:val="24"/>
        </w:rPr>
        <w:t>:</w:t>
      </w:r>
    </w:p>
    <w:p w:rsidR="006F50E4" w:rsidRDefault="006F50E4" w:rsidP="006F50E4">
      <w:pPr>
        <w:jc w:val="both"/>
        <w:rPr>
          <w:rFonts w:ascii="Times New Roman" w:hAnsi="Times New Roman" w:cs="Times New Roman"/>
          <w:sz w:val="24"/>
          <w:szCs w:val="24"/>
        </w:rPr>
      </w:pPr>
      <w:r w:rsidRPr="00E83596">
        <w:rPr>
          <w:rFonts w:ascii="Times New Roman" w:hAnsi="Times New Roman" w:cs="Times New Roman"/>
          <w:sz w:val="24"/>
          <w:szCs w:val="24"/>
        </w:rPr>
        <w:t xml:space="preserve">Fernando F. Herrera Lima es Profesor Investigador de los postgrados en Ciencias Antropológicas y de  Estudios Sociales (Línea de Procesos Políticos) de la UAM-I. Es Doctor en Ciencias Antropológicas y Maestro en Sociología del Trabajo. </w:t>
      </w:r>
      <w:r>
        <w:rPr>
          <w:rFonts w:ascii="Times New Roman" w:hAnsi="Times New Roman" w:cs="Times New Roman"/>
          <w:sz w:val="24"/>
          <w:szCs w:val="24"/>
        </w:rPr>
        <w:t>Su línea principal de investigación gira en torno a las migraciones laborales y la construcción de espacios laborales transnacionales y locales. Pertenece al SNI desde 2002.</w:t>
      </w:r>
    </w:p>
    <w:p w:rsidR="006F50E4" w:rsidRPr="00E83596" w:rsidRDefault="006F50E4" w:rsidP="006F50E4">
      <w:pPr>
        <w:jc w:val="both"/>
        <w:rPr>
          <w:rFonts w:ascii="Times New Roman" w:hAnsi="Times New Roman" w:cs="Times New Roman"/>
          <w:sz w:val="24"/>
          <w:szCs w:val="24"/>
        </w:rPr>
      </w:pPr>
      <w:r w:rsidRPr="00E83596">
        <w:rPr>
          <w:rFonts w:ascii="Times New Roman" w:hAnsi="Times New Roman" w:cs="Times New Roman"/>
          <w:sz w:val="24"/>
          <w:szCs w:val="24"/>
        </w:rPr>
        <w:t xml:space="preserve">Entre sus publicaciones recientes se encuentran: </w:t>
      </w:r>
    </w:p>
    <w:p w:rsidR="006F50E4" w:rsidRPr="00E83596" w:rsidRDefault="006F50E4" w:rsidP="006F50E4">
      <w:pPr>
        <w:jc w:val="both"/>
        <w:rPr>
          <w:rFonts w:ascii="Times New Roman" w:hAnsi="Times New Roman" w:cs="Times New Roman"/>
          <w:sz w:val="24"/>
          <w:szCs w:val="24"/>
        </w:rPr>
      </w:pPr>
      <w:r w:rsidRPr="00E83596">
        <w:rPr>
          <w:rFonts w:ascii="Times New Roman" w:hAnsi="Times New Roman" w:cs="Times New Roman"/>
          <w:sz w:val="24"/>
          <w:szCs w:val="24"/>
        </w:rPr>
        <w:t>2014</w:t>
      </w:r>
    </w:p>
    <w:p w:rsidR="006F50E4" w:rsidRPr="00E83596" w:rsidRDefault="006F50E4" w:rsidP="006F50E4">
      <w:pPr>
        <w:jc w:val="both"/>
        <w:rPr>
          <w:rFonts w:ascii="Times New Roman" w:hAnsi="Times New Roman" w:cs="Times New Roman"/>
          <w:sz w:val="24"/>
          <w:szCs w:val="24"/>
        </w:rPr>
      </w:pPr>
      <w:r w:rsidRPr="00E83596">
        <w:rPr>
          <w:rFonts w:ascii="Times New Roman" w:hAnsi="Times New Roman" w:cs="Times New Roman"/>
          <w:i/>
          <w:sz w:val="24"/>
          <w:szCs w:val="24"/>
        </w:rPr>
        <w:t>Las múltiples y diversas migraciones de México a los Estados Unidos: desempeños diferenciados en los mercados de trabajo norteamericanos</w:t>
      </w:r>
      <w:r w:rsidRPr="00E83596">
        <w:rPr>
          <w:rFonts w:ascii="Times New Roman" w:hAnsi="Times New Roman" w:cs="Times New Roman"/>
          <w:sz w:val="24"/>
          <w:szCs w:val="24"/>
        </w:rPr>
        <w:t xml:space="preserve">, en: Galeana, Patricia, </w:t>
      </w:r>
      <w:r w:rsidRPr="00E83596">
        <w:rPr>
          <w:rFonts w:ascii="Times New Roman" w:hAnsi="Times New Roman" w:cs="Times New Roman"/>
          <w:b/>
          <w:sz w:val="24"/>
          <w:szCs w:val="24"/>
        </w:rPr>
        <w:t>Historia comparada de las migraciones en América Latina</w:t>
      </w:r>
      <w:r w:rsidRPr="00E83596">
        <w:rPr>
          <w:rFonts w:ascii="Times New Roman" w:hAnsi="Times New Roman" w:cs="Times New Roman"/>
          <w:sz w:val="24"/>
          <w:szCs w:val="24"/>
        </w:rPr>
        <w:t>, UNAM/IPGH, México, DF, p.459-485.</w:t>
      </w:r>
    </w:p>
    <w:p w:rsidR="006F50E4" w:rsidRPr="00E83596" w:rsidRDefault="006F50E4" w:rsidP="006F50E4">
      <w:pPr>
        <w:jc w:val="both"/>
        <w:rPr>
          <w:rFonts w:ascii="Times New Roman" w:hAnsi="Times New Roman" w:cs="Times New Roman"/>
          <w:sz w:val="24"/>
          <w:szCs w:val="24"/>
        </w:rPr>
      </w:pPr>
      <w:r w:rsidRPr="00E83596">
        <w:rPr>
          <w:rFonts w:ascii="Times New Roman" w:hAnsi="Times New Roman" w:cs="Times New Roman"/>
          <w:i/>
          <w:sz w:val="24"/>
          <w:szCs w:val="24"/>
        </w:rPr>
        <w:t>Migración, trabajo y campesinado en la agricultura globalizada de México y Estados Unidos</w:t>
      </w:r>
      <w:r w:rsidRPr="00E83596">
        <w:rPr>
          <w:rFonts w:ascii="Times New Roman" w:hAnsi="Times New Roman" w:cs="Times New Roman"/>
          <w:sz w:val="24"/>
          <w:szCs w:val="24"/>
        </w:rPr>
        <w:t xml:space="preserve">, en: Hernández Romo, Marcela, coordinadora, </w:t>
      </w:r>
      <w:r w:rsidRPr="00E83596">
        <w:rPr>
          <w:rFonts w:ascii="Times New Roman" w:hAnsi="Times New Roman" w:cs="Times New Roman"/>
          <w:b/>
          <w:sz w:val="24"/>
          <w:szCs w:val="24"/>
        </w:rPr>
        <w:t>Los nuevos estudios laborales en México</w:t>
      </w:r>
      <w:r w:rsidRPr="00E83596">
        <w:rPr>
          <w:rFonts w:ascii="Times New Roman" w:hAnsi="Times New Roman" w:cs="Times New Roman"/>
          <w:sz w:val="24"/>
          <w:szCs w:val="24"/>
        </w:rPr>
        <w:t>, México, M.A. Porrúa</w:t>
      </w:r>
      <w:r w:rsidRPr="00E83596">
        <w:rPr>
          <w:rFonts w:ascii="Times New Roman" w:hAnsi="Times New Roman" w:cs="Times New Roman"/>
          <w:b/>
          <w:sz w:val="24"/>
          <w:szCs w:val="24"/>
        </w:rPr>
        <w:t xml:space="preserve"> </w:t>
      </w:r>
      <w:r w:rsidRPr="00E83596">
        <w:rPr>
          <w:rFonts w:ascii="Times New Roman" w:hAnsi="Times New Roman" w:cs="Times New Roman"/>
          <w:sz w:val="24"/>
          <w:szCs w:val="24"/>
        </w:rPr>
        <w:t>y UAM-I, 2014 (coautoría con Yolanda Massieu, Celso Ortíz Marín y Ulises Revilla), ISBN: ISBN 978-607-401-779-3.</w:t>
      </w:r>
    </w:p>
    <w:p w:rsidR="006F50E4" w:rsidRPr="00E83596" w:rsidRDefault="006F50E4" w:rsidP="006F50E4">
      <w:pPr>
        <w:jc w:val="both"/>
        <w:rPr>
          <w:rFonts w:ascii="Times New Roman" w:hAnsi="Times New Roman" w:cs="Times New Roman"/>
          <w:sz w:val="24"/>
          <w:szCs w:val="24"/>
        </w:rPr>
      </w:pPr>
      <w:r w:rsidRPr="00E83596">
        <w:rPr>
          <w:rFonts w:ascii="Times New Roman" w:hAnsi="Times New Roman" w:cs="Times New Roman"/>
          <w:sz w:val="24"/>
          <w:szCs w:val="24"/>
        </w:rPr>
        <w:t>2012</w:t>
      </w:r>
    </w:p>
    <w:p w:rsidR="006F50E4" w:rsidRPr="00E83596" w:rsidRDefault="006F50E4" w:rsidP="006F50E4">
      <w:pPr>
        <w:jc w:val="both"/>
        <w:rPr>
          <w:rFonts w:ascii="Times New Roman" w:hAnsi="Times New Roman" w:cs="Times New Roman"/>
          <w:b/>
          <w:sz w:val="24"/>
          <w:szCs w:val="24"/>
        </w:rPr>
      </w:pPr>
      <w:r w:rsidRPr="00E83596">
        <w:rPr>
          <w:rFonts w:ascii="Times New Roman" w:hAnsi="Times New Roman" w:cs="Times New Roman"/>
          <w:i/>
          <w:sz w:val="24"/>
          <w:szCs w:val="24"/>
        </w:rPr>
        <w:t>La migración a los Estados Unidos, una visión del primer decenio del siglo XXI</w:t>
      </w:r>
      <w:r w:rsidRPr="00E83596">
        <w:rPr>
          <w:rFonts w:ascii="Times New Roman" w:hAnsi="Times New Roman" w:cs="Times New Roman"/>
          <w:sz w:val="24"/>
          <w:szCs w:val="24"/>
        </w:rPr>
        <w:t xml:space="preserve">, </w:t>
      </w:r>
      <w:r w:rsidRPr="00E83596">
        <w:rPr>
          <w:rFonts w:ascii="Times New Roman" w:hAnsi="Times New Roman" w:cs="Times New Roman"/>
          <w:b/>
          <w:sz w:val="24"/>
          <w:szCs w:val="24"/>
        </w:rPr>
        <w:t>Norteamérica,</w:t>
      </w:r>
      <w:r w:rsidRPr="00E83596">
        <w:rPr>
          <w:rFonts w:ascii="Times New Roman" w:hAnsi="Times New Roman" w:cs="Times New Roman"/>
          <w:sz w:val="24"/>
          <w:szCs w:val="24"/>
        </w:rPr>
        <w:t xml:space="preserve"> México, CISAN/UNAM, año 7, n.2, julio-diciembre de 2012, p.171-197,  ISSN 1870-3550.</w:t>
      </w:r>
    </w:p>
    <w:p w:rsidR="006F50E4" w:rsidRPr="00E83596" w:rsidRDefault="006F50E4" w:rsidP="006F50E4">
      <w:pPr>
        <w:jc w:val="both"/>
        <w:rPr>
          <w:rFonts w:ascii="Times New Roman" w:hAnsi="Times New Roman" w:cs="Times New Roman"/>
          <w:sz w:val="24"/>
          <w:szCs w:val="24"/>
        </w:rPr>
      </w:pPr>
      <w:r w:rsidRPr="00E83596">
        <w:rPr>
          <w:rFonts w:ascii="Times New Roman" w:hAnsi="Times New Roman" w:cs="Times New Roman"/>
          <w:i/>
          <w:sz w:val="24"/>
          <w:szCs w:val="24"/>
        </w:rPr>
        <w:t>Las remesas: elemento fundamental del mercado de trabajo transnacional México-Estados Unidos</w:t>
      </w:r>
      <w:r w:rsidRPr="00E83596">
        <w:rPr>
          <w:rFonts w:ascii="Times New Roman" w:hAnsi="Times New Roman" w:cs="Times New Roman"/>
          <w:sz w:val="24"/>
          <w:szCs w:val="24"/>
        </w:rPr>
        <w:t xml:space="preserve">, Buenos Aires, Argentina, </w:t>
      </w:r>
      <w:r w:rsidRPr="00E83596">
        <w:rPr>
          <w:rFonts w:ascii="Times New Roman" w:hAnsi="Times New Roman" w:cs="Times New Roman"/>
          <w:b/>
          <w:sz w:val="24"/>
          <w:szCs w:val="24"/>
        </w:rPr>
        <w:t xml:space="preserve">Estudios Migratorios Latinoamericanos, </w:t>
      </w:r>
      <w:r w:rsidRPr="00E83596">
        <w:rPr>
          <w:rFonts w:ascii="Times New Roman" w:hAnsi="Times New Roman" w:cs="Times New Roman"/>
          <w:sz w:val="24"/>
          <w:szCs w:val="24"/>
        </w:rPr>
        <w:t>n.73, segundo semestre de 2012 (en prensa) ISSN 03226-7458.</w:t>
      </w:r>
    </w:p>
    <w:p w:rsidR="00E9608A" w:rsidRPr="003C2A0F" w:rsidRDefault="008025C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E9608A" w:rsidRPr="003C2A0F">
        <w:rPr>
          <w:rFonts w:ascii="Times New Roman" w:hAnsi="Times New Roman" w:cs="Times New Roman"/>
          <w:sz w:val="24"/>
          <w:szCs w:val="24"/>
        </w:rPr>
        <w:t>INTRODUCCIÓN</w:t>
      </w:r>
      <w:r w:rsidR="00FF0546">
        <w:rPr>
          <w:rFonts w:ascii="Times New Roman" w:hAnsi="Times New Roman" w:cs="Times New Roman"/>
          <w:sz w:val="24"/>
          <w:szCs w:val="24"/>
        </w:rPr>
        <w:t xml:space="preserve">: </w:t>
      </w:r>
    </w:p>
    <w:p w:rsidR="00E9608A" w:rsidRPr="003C2A0F" w:rsidRDefault="00E9608A" w:rsidP="00642948">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 xml:space="preserve">Si las costumbres editoriales lo permitieran, este artículo bien podría llevar por título un extenso enunciado como el que sigue: </w:t>
      </w:r>
    </w:p>
    <w:p w:rsidR="00E9608A" w:rsidRPr="003C2A0F" w:rsidRDefault="00E9608A" w:rsidP="00642948">
      <w:pPr>
        <w:spacing w:after="0" w:line="240" w:lineRule="auto"/>
        <w:jc w:val="both"/>
        <w:rPr>
          <w:rFonts w:ascii="Times New Roman" w:hAnsi="Times New Roman" w:cs="Times New Roman"/>
          <w:sz w:val="24"/>
          <w:szCs w:val="24"/>
        </w:rPr>
      </w:pPr>
    </w:p>
    <w:p w:rsidR="00E9608A" w:rsidRPr="003C2A0F" w:rsidRDefault="00E9608A" w:rsidP="00642948">
      <w:pPr>
        <w:spacing w:after="0" w:line="240" w:lineRule="auto"/>
        <w:ind w:left="708"/>
        <w:jc w:val="both"/>
        <w:rPr>
          <w:rFonts w:ascii="Times New Roman" w:hAnsi="Times New Roman" w:cs="Times New Roman"/>
          <w:sz w:val="24"/>
          <w:szCs w:val="24"/>
        </w:rPr>
      </w:pPr>
      <w:r>
        <w:rPr>
          <w:rFonts w:ascii="Times New Roman" w:hAnsi="Times New Roman" w:cs="Times New Roman"/>
          <w:i/>
          <w:sz w:val="24"/>
          <w:szCs w:val="24"/>
        </w:rPr>
        <w:t>La inviabilidad de un modelo ba</w:t>
      </w:r>
      <w:r w:rsidR="00B11D00">
        <w:rPr>
          <w:rFonts w:ascii="Times New Roman" w:hAnsi="Times New Roman" w:cs="Times New Roman"/>
          <w:i/>
          <w:sz w:val="24"/>
          <w:szCs w:val="24"/>
        </w:rPr>
        <w:t>sado en la exportación masiva de</w:t>
      </w:r>
      <w:r>
        <w:rPr>
          <w:rFonts w:ascii="Times New Roman" w:hAnsi="Times New Roman" w:cs="Times New Roman"/>
          <w:i/>
          <w:sz w:val="24"/>
          <w:szCs w:val="24"/>
        </w:rPr>
        <w:t xml:space="preserve"> trabajo barato, vulnerable y flexible</w:t>
      </w:r>
      <w:r w:rsidR="003923FB">
        <w:rPr>
          <w:rFonts w:ascii="Times New Roman" w:hAnsi="Times New Roman" w:cs="Times New Roman"/>
          <w:sz w:val="24"/>
          <w:szCs w:val="24"/>
        </w:rPr>
        <w:t>.</w:t>
      </w:r>
      <w:r>
        <w:rPr>
          <w:rFonts w:ascii="Times New Roman" w:hAnsi="Times New Roman" w:cs="Times New Roman"/>
          <w:i/>
          <w:sz w:val="24"/>
          <w:szCs w:val="24"/>
        </w:rPr>
        <w:t xml:space="preserve"> </w:t>
      </w:r>
      <w:r w:rsidRPr="003C2A0F">
        <w:rPr>
          <w:rFonts w:ascii="Times New Roman" w:hAnsi="Times New Roman" w:cs="Times New Roman"/>
          <w:i/>
          <w:sz w:val="24"/>
          <w:szCs w:val="24"/>
        </w:rPr>
        <w:t xml:space="preserve">La incertidumbre creciente </w:t>
      </w:r>
      <w:r>
        <w:rPr>
          <w:rFonts w:ascii="Times New Roman" w:hAnsi="Times New Roman" w:cs="Times New Roman"/>
          <w:i/>
          <w:sz w:val="24"/>
          <w:szCs w:val="24"/>
        </w:rPr>
        <w:t xml:space="preserve">sobre el futuro </w:t>
      </w:r>
      <w:r w:rsidRPr="003C2A0F">
        <w:rPr>
          <w:rFonts w:ascii="Times New Roman" w:hAnsi="Times New Roman" w:cs="Times New Roman"/>
          <w:i/>
          <w:sz w:val="24"/>
          <w:szCs w:val="24"/>
        </w:rPr>
        <w:t>de las remesas (el salario transferido a México por los migrantes) como uno de los pilares básicos para la captación de divisas</w:t>
      </w:r>
      <w:r w:rsidRPr="003C2A0F">
        <w:rPr>
          <w:rStyle w:val="Refdenotaalpie"/>
          <w:rFonts w:ascii="Times New Roman" w:hAnsi="Times New Roman" w:cs="Times New Roman"/>
          <w:i/>
          <w:sz w:val="24"/>
          <w:szCs w:val="24"/>
        </w:rPr>
        <w:footnoteReference w:id="2"/>
      </w:r>
      <w:r w:rsidRPr="003C2A0F">
        <w:rPr>
          <w:rFonts w:ascii="Times New Roman" w:hAnsi="Times New Roman" w:cs="Times New Roman"/>
          <w:i/>
          <w:sz w:val="24"/>
          <w:szCs w:val="24"/>
        </w:rPr>
        <w:t>; y la inoperancia creciente de otros de los supuestos pilares complementarios: el petróleo, la Inversión Extranjera Directa (IED) y el turismo</w:t>
      </w:r>
      <w:r w:rsidRPr="003C2A0F">
        <w:rPr>
          <w:rStyle w:val="Refdenotaalpie"/>
          <w:rFonts w:ascii="Times New Roman" w:hAnsi="Times New Roman" w:cs="Times New Roman"/>
          <w:i/>
          <w:sz w:val="24"/>
          <w:szCs w:val="24"/>
        </w:rPr>
        <w:footnoteReference w:id="3"/>
      </w:r>
      <w:r w:rsidRPr="003C2A0F">
        <w:rPr>
          <w:rFonts w:ascii="Times New Roman" w:hAnsi="Times New Roman" w:cs="Times New Roman"/>
          <w:sz w:val="24"/>
          <w:szCs w:val="24"/>
        </w:rPr>
        <w:t>.</w:t>
      </w:r>
    </w:p>
    <w:p w:rsidR="00E9608A" w:rsidRPr="003C2A0F" w:rsidRDefault="00E9608A" w:rsidP="00642948">
      <w:pPr>
        <w:spacing w:after="0" w:line="240" w:lineRule="auto"/>
        <w:jc w:val="both"/>
        <w:rPr>
          <w:rFonts w:ascii="Times New Roman" w:hAnsi="Times New Roman" w:cs="Times New Roman"/>
          <w:sz w:val="24"/>
          <w:szCs w:val="24"/>
        </w:rPr>
      </w:pPr>
    </w:p>
    <w:p w:rsidR="00E9608A" w:rsidRPr="003C2A0F" w:rsidRDefault="00E9608A" w:rsidP="00642948">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En el contexto que quiere resumir el título ampliado e inviable de este artículo, los objetivos que éste se propone se limitan al seguimiento y análisis de la evolución cuatro de las fuentes previstas de aportación de divisas a la economía mexicana -remesas, petróleo, IED y turismo- a lo largo del periodo de vigencia del Tratado de Libre Comercio de América del Norte (TLCAN), para demostrar que en realidad el aporte de las tres últimas es sumamente limitado, si se atiende no unilateralmente al valor de la exportaciones en esos rubros, sino a la balanza de cada uno de ellos, incluyendo los montos crecientes de las contrapartes: importación de derivados del petróleo, inversión directa de México en el extranjero y gasto de turistas mexicanos en el exterior. Mientras que por el lado de la remesas, el ingreso de divisas es neto, en tanto los envíos de ellas al exterior desde México es casi inexistente de acuerdo a las cifras disponibles</w:t>
      </w:r>
      <w:r>
        <w:rPr>
          <w:rFonts w:ascii="Times New Roman" w:hAnsi="Times New Roman" w:cs="Times New Roman"/>
          <w:sz w:val="24"/>
          <w:szCs w:val="24"/>
        </w:rPr>
        <w:t xml:space="preserve"> (Herrera Lima, 2012</w:t>
      </w:r>
      <w:r w:rsidR="003923FB">
        <w:rPr>
          <w:rFonts w:ascii="Times New Roman" w:hAnsi="Times New Roman" w:cs="Times New Roman"/>
          <w:sz w:val="24"/>
          <w:szCs w:val="24"/>
        </w:rPr>
        <w:t>b</w:t>
      </w:r>
      <w:r>
        <w:rPr>
          <w:rFonts w:ascii="Times New Roman" w:hAnsi="Times New Roman" w:cs="Times New Roman"/>
          <w:sz w:val="24"/>
          <w:szCs w:val="24"/>
        </w:rPr>
        <w:t>)</w:t>
      </w:r>
      <w:r w:rsidRPr="003C2A0F">
        <w:rPr>
          <w:rFonts w:ascii="Times New Roman" w:hAnsi="Times New Roman" w:cs="Times New Roman"/>
          <w:sz w:val="24"/>
          <w:szCs w:val="24"/>
        </w:rPr>
        <w:t xml:space="preserve">. El problema aquí radica en que esta </w:t>
      </w:r>
      <w:r w:rsidRPr="003C2A0F">
        <w:rPr>
          <w:rFonts w:ascii="Times New Roman" w:hAnsi="Times New Roman" w:cs="Times New Roman"/>
          <w:i/>
          <w:sz w:val="24"/>
          <w:szCs w:val="24"/>
        </w:rPr>
        <w:t>remesodependencia</w:t>
      </w:r>
      <w:r w:rsidRPr="003C2A0F">
        <w:rPr>
          <w:rFonts w:ascii="Times New Roman" w:hAnsi="Times New Roman" w:cs="Times New Roman"/>
          <w:sz w:val="24"/>
          <w:szCs w:val="24"/>
        </w:rPr>
        <w:t xml:space="preserve"> no puede prolongarse indefinidamente, por razones tanto económicas como sociales políticas y demográficas.</w:t>
      </w:r>
    </w:p>
    <w:p w:rsidR="00E9608A" w:rsidRPr="003C2A0F" w:rsidRDefault="00E9608A" w:rsidP="00642948">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ab/>
        <w:t xml:space="preserve">A lo largo del periodo de vigencia del TLCAN, caracterizado por la puesta en práctica de las recetas neoliberales sintetizadas en el llamado </w:t>
      </w:r>
      <w:r w:rsidRPr="003C2A0F">
        <w:rPr>
          <w:rFonts w:ascii="Times New Roman" w:hAnsi="Times New Roman" w:cs="Times New Roman"/>
          <w:i/>
          <w:sz w:val="24"/>
          <w:szCs w:val="24"/>
        </w:rPr>
        <w:t>Consenso de Washington</w:t>
      </w:r>
      <w:r w:rsidRPr="003C2A0F">
        <w:rPr>
          <w:rFonts w:ascii="Times New Roman" w:hAnsi="Times New Roman" w:cs="Times New Roman"/>
          <w:sz w:val="24"/>
          <w:szCs w:val="24"/>
        </w:rPr>
        <w:t>, los gobiernos mexicanos apostaron por un  modelo en el que las exportaciones y la IED deberían ser el motor de una economía abierta y privatizada, capaz de integrarse exitosamente al mundo globalizado y transnacionalizado del nuevo siglo (</w:t>
      </w:r>
      <w:r w:rsidR="00E36C8A" w:rsidRPr="003C2A0F">
        <w:rPr>
          <w:rFonts w:ascii="Times New Roman" w:hAnsi="Times New Roman" w:cs="Times New Roman"/>
          <w:sz w:val="24"/>
          <w:szCs w:val="24"/>
        </w:rPr>
        <w:t>Cypher</w:t>
      </w:r>
      <w:r w:rsidR="00E36C8A">
        <w:rPr>
          <w:rFonts w:ascii="Times New Roman" w:hAnsi="Times New Roman" w:cs="Times New Roman"/>
          <w:sz w:val="24"/>
          <w:szCs w:val="24"/>
        </w:rPr>
        <w:t xml:space="preserve"> y Delgado Wise, </w:t>
      </w:r>
      <w:r w:rsidRPr="003C2A0F">
        <w:rPr>
          <w:rFonts w:ascii="Times New Roman" w:hAnsi="Times New Roman" w:cs="Times New Roman"/>
          <w:sz w:val="24"/>
          <w:szCs w:val="24"/>
        </w:rPr>
        <w:t>2012</w:t>
      </w:r>
      <w:r>
        <w:rPr>
          <w:rFonts w:ascii="Times New Roman" w:hAnsi="Times New Roman" w:cs="Times New Roman"/>
          <w:sz w:val="24"/>
          <w:szCs w:val="24"/>
        </w:rPr>
        <w:t>; Guillén Romo, H.,1997)</w:t>
      </w:r>
      <w:r w:rsidRPr="003C2A0F">
        <w:rPr>
          <w:rFonts w:ascii="Times New Roman" w:hAnsi="Times New Roman" w:cs="Times New Roman"/>
          <w:sz w:val="24"/>
          <w:szCs w:val="24"/>
        </w:rPr>
        <w:t xml:space="preserve">. Las exportaciones de una industria </w:t>
      </w:r>
      <w:r w:rsidRPr="003C2A0F">
        <w:rPr>
          <w:rFonts w:ascii="Times New Roman" w:hAnsi="Times New Roman" w:cs="Times New Roman"/>
          <w:i/>
          <w:sz w:val="24"/>
          <w:szCs w:val="24"/>
        </w:rPr>
        <w:t>maquilizada</w:t>
      </w:r>
      <w:r w:rsidRPr="003C2A0F">
        <w:rPr>
          <w:rFonts w:ascii="Times New Roman" w:hAnsi="Times New Roman" w:cs="Times New Roman"/>
          <w:sz w:val="24"/>
          <w:szCs w:val="24"/>
        </w:rPr>
        <w:t xml:space="preserve"> y dominada por los grandes consorcios transnacionales, las de una actividad extractivista depredadora (petróleo crudo y minería) y, sobre todo, las de una fuerza de </w:t>
      </w:r>
      <w:r w:rsidRPr="003C2A0F">
        <w:rPr>
          <w:rFonts w:ascii="Times New Roman" w:hAnsi="Times New Roman" w:cs="Times New Roman"/>
          <w:sz w:val="24"/>
          <w:szCs w:val="24"/>
        </w:rPr>
        <w:lastRenderedPageBreak/>
        <w:t>trabajo barata, vulnerable y sumamente flexible -laboral y espacialmente-, deberían ser los pilares que sustentaran al modelo</w:t>
      </w:r>
      <w:r w:rsidRPr="003C2A0F">
        <w:rPr>
          <w:rStyle w:val="Refdenotaalpie"/>
          <w:rFonts w:ascii="Times New Roman" w:hAnsi="Times New Roman" w:cs="Times New Roman"/>
          <w:sz w:val="24"/>
          <w:szCs w:val="24"/>
        </w:rPr>
        <w:footnoteReference w:id="4"/>
      </w:r>
      <w:r w:rsidRPr="003C2A0F">
        <w:rPr>
          <w:rFonts w:ascii="Times New Roman" w:hAnsi="Times New Roman" w:cs="Times New Roman"/>
          <w:sz w:val="24"/>
          <w:szCs w:val="24"/>
        </w:rPr>
        <w:t>. El mercado interno para la esfera baja de consumo (la que depende de los ingresos por el trabajo, radicalmente degradados) sería resuelto por un creciente e imprescindible conjunto, abigarrado y heterogéneo, de actividades informales. La esfera alta de consumo, por su parte, podría satisfacer sus necesidades mediante la importación. La reproducción de una fuerza de trabajo, entonces,  pauperizada por los bajos salarios</w:t>
      </w:r>
      <w:r w:rsidRPr="003C2A0F">
        <w:rPr>
          <w:rStyle w:val="Refdenotaalpie"/>
          <w:rFonts w:ascii="Times New Roman" w:hAnsi="Times New Roman" w:cs="Times New Roman"/>
          <w:sz w:val="24"/>
          <w:szCs w:val="24"/>
        </w:rPr>
        <w:footnoteReference w:id="5"/>
      </w:r>
      <w:r w:rsidRPr="003C2A0F">
        <w:rPr>
          <w:rFonts w:ascii="Times New Roman" w:hAnsi="Times New Roman" w:cs="Times New Roman"/>
          <w:sz w:val="24"/>
          <w:szCs w:val="24"/>
        </w:rPr>
        <w:t xml:space="preserve">, el desempleo y el empleo precario (Ruíz Nápoles y Ordaz, 2011), la ausencia de prestaciones asociadas al trabajo y el desmantelamiento del </w:t>
      </w:r>
      <w:r w:rsidRPr="003C2A0F">
        <w:rPr>
          <w:rFonts w:ascii="Times New Roman" w:hAnsi="Times New Roman" w:cs="Times New Roman"/>
          <w:i/>
          <w:sz w:val="24"/>
          <w:szCs w:val="24"/>
        </w:rPr>
        <w:t>Estado Social Autoritario</w:t>
      </w:r>
      <w:r w:rsidRPr="003C2A0F">
        <w:rPr>
          <w:rFonts w:ascii="Times New Roman" w:hAnsi="Times New Roman" w:cs="Times New Roman"/>
          <w:sz w:val="24"/>
          <w:szCs w:val="24"/>
        </w:rPr>
        <w:t xml:space="preserve"> (De la Garza, </w:t>
      </w:r>
      <w:r w:rsidR="003923FB">
        <w:rPr>
          <w:rFonts w:ascii="Times New Roman" w:hAnsi="Times New Roman" w:cs="Times New Roman"/>
          <w:sz w:val="24"/>
          <w:szCs w:val="24"/>
        </w:rPr>
        <w:t>1988</w:t>
      </w:r>
      <w:r w:rsidRPr="003C2A0F">
        <w:rPr>
          <w:rFonts w:ascii="Times New Roman" w:hAnsi="Times New Roman" w:cs="Times New Roman"/>
          <w:sz w:val="24"/>
          <w:szCs w:val="24"/>
        </w:rPr>
        <w:t>), así como por el debilitamiento extremo del sindicalismo</w:t>
      </w:r>
      <w:r w:rsidR="00E8092F">
        <w:rPr>
          <w:rFonts w:ascii="Times New Roman" w:hAnsi="Times New Roman" w:cs="Times New Roman"/>
          <w:sz w:val="24"/>
          <w:szCs w:val="24"/>
        </w:rPr>
        <w:t xml:space="preserve"> (Bensusá</w:t>
      </w:r>
      <w:r>
        <w:rPr>
          <w:rFonts w:ascii="Times New Roman" w:hAnsi="Times New Roman" w:cs="Times New Roman"/>
          <w:sz w:val="24"/>
          <w:szCs w:val="24"/>
        </w:rPr>
        <w:t>n y Middlebrook, 2013; Herrera Lima, 2014)</w:t>
      </w:r>
      <w:r w:rsidRPr="003C2A0F">
        <w:rPr>
          <w:rFonts w:ascii="Times New Roman" w:hAnsi="Times New Roman" w:cs="Times New Roman"/>
          <w:sz w:val="24"/>
          <w:szCs w:val="24"/>
        </w:rPr>
        <w:t xml:space="preserve">, tendría que descansar </w:t>
      </w:r>
      <w:r w:rsidR="003923FB">
        <w:rPr>
          <w:rFonts w:ascii="Times New Roman" w:hAnsi="Times New Roman" w:cs="Times New Roman"/>
          <w:sz w:val="24"/>
          <w:szCs w:val="24"/>
        </w:rPr>
        <w:t xml:space="preserve">en buena medida </w:t>
      </w:r>
      <w:r w:rsidRPr="003C2A0F">
        <w:rPr>
          <w:rFonts w:ascii="Times New Roman" w:hAnsi="Times New Roman" w:cs="Times New Roman"/>
          <w:sz w:val="24"/>
          <w:szCs w:val="24"/>
        </w:rPr>
        <w:t>en el salario transferido por los migrantes (remesas) y en la informalidad.</w:t>
      </w:r>
    </w:p>
    <w:p w:rsidR="00E9608A" w:rsidRPr="003C2A0F" w:rsidRDefault="00E9608A" w:rsidP="00642948">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ab/>
        <w:t xml:space="preserve">Los elementos anteriores conforman un escenario de inviabilidad, o bien de una viabilidad precaria, de dicho modelo, como se ha podido constatar en los años recientes, que arrancan con el estallamiento de la crisis en el sector inmobiliario norteamericano al final de 2007. Las características de la crisis actual de la economía mexicana permiten ubicarla como una crisis del modelo de acumulación que ha guiado a la economía en el último periodo de prevalencia de las prescripciones neoliberales. Como lo muestran varios análisis (Cordera, 2015; </w:t>
      </w:r>
      <w:r w:rsidR="00653E49" w:rsidRPr="003C2A0F">
        <w:rPr>
          <w:rFonts w:ascii="Times New Roman" w:hAnsi="Times New Roman" w:cs="Times New Roman"/>
          <w:sz w:val="24"/>
          <w:szCs w:val="24"/>
        </w:rPr>
        <w:t xml:space="preserve">Cypher </w:t>
      </w:r>
      <w:r w:rsidRPr="003C2A0F">
        <w:rPr>
          <w:rFonts w:ascii="Times New Roman" w:hAnsi="Times New Roman" w:cs="Times New Roman"/>
          <w:sz w:val="24"/>
          <w:szCs w:val="24"/>
        </w:rPr>
        <w:t>y</w:t>
      </w:r>
      <w:r w:rsidR="00653E49" w:rsidRPr="00653E49">
        <w:rPr>
          <w:rFonts w:ascii="Times New Roman" w:hAnsi="Times New Roman" w:cs="Times New Roman"/>
          <w:sz w:val="24"/>
          <w:szCs w:val="24"/>
        </w:rPr>
        <w:t xml:space="preserve"> </w:t>
      </w:r>
      <w:r w:rsidR="00653E49" w:rsidRPr="003C2A0F">
        <w:rPr>
          <w:rFonts w:ascii="Times New Roman" w:hAnsi="Times New Roman" w:cs="Times New Roman"/>
          <w:sz w:val="24"/>
          <w:szCs w:val="24"/>
        </w:rPr>
        <w:t>Delgado Wise</w:t>
      </w:r>
      <w:r w:rsidRPr="003C2A0F">
        <w:rPr>
          <w:rFonts w:ascii="Times New Roman" w:hAnsi="Times New Roman" w:cs="Times New Roman"/>
          <w:sz w:val="24"/>
          <w:szCs w:val="24"/>
        </w:rPr>
        <w:t>, 2012; Guillén Romo, A</w:t>
      </w:r>
      <w:r>
        <w:rPr>
          <w:rFonts w:ascii="Times New Roman" w:hAnsi="Times New Roman" w:cs="Times New Roman"/>
          <w:sz w:val="24"/>
          <w:szCs w:val="24"/>
        </w:rPr>
        <w:t>.</w:t>
      </w:r>
      <w:r w:rsidRPr="003C2A0F">
        <w:rPr>
          <w:rFonts w:ascii="Times New Roman" w:hAnsi="Times New Roman" w:cs="Times New Roman"/>
          <w:sz w:val="24"/>
          <w:szCs w:val="24"/>
        </w:rPr>
        <w:t xml:space="preserve">, </w:t>
      </w:r>
      <w:r w:rsidR="00060BB4">
        <w:rPr>
          <w:rFonts w:ascii="Times New Roman" w:hAnsi="Times New Roman" w:cs="Times New Roman"/>
          <w:sz w:val="24"/>
          <w:szCs w:val="24"/>
        </w:rPr>
        <w:t>s.f.</w:t>
      </w:r>
      <w:r w:rsidRPr="003C2A0F">
        <w:rPr>
          <w:rFonts w:ascii="Times New Roman" w:hAnsi="Times New Roman" w:cs="Times New Roman"/>
          <w:sz w:val="24"/>
          <w:szCs w:val="24"/>
        </w:rPr>
        <w:t>), esta crisis se inscribe en otra de orden más general, global, propia del modelo neoliberal en su conjunto; en el cual la economía mexicana jugó desde el inicio un papel subordinado a las necesidades del gran capital financiero global</w:t>
      </w:r>
      <w:r>
        <w:rPr>
          <w:rFonts w:ascii="Times New Roman" w:hAnsi="Times New Roman" w:cs="Times New Roman"/>
          <w:sz w:val="24"/>
          <w:szCs w:val="24"/>
        </w:rPr>
        <w:t xml:space="preserve"> (Guillén Romo, H., 1997)</w:t>
      </w:r>
      <w:r w:rsidRPr="003C2A0F">
        <w:rPr>
          <w:rFonts w:ascii="Times New Roman" w:hAnsi="Times New Roman" w:cs="Times New Roman"/>
          <w:sz w:val="24"/>
          <w:szCs w:val="24"/>
        </w:rPr>
        <w:t>. Esta crisis, por tanto, va más allá de ser una de orden coyuntural que pudiera presentar signos de estar gestando las condiciones de una recuperación sólida dentro de las mismas bases previas a su estallamiento.</w:t>
      </w:r>
    </w:p>
    <w:p w:rsidR="00E9608A" w:rsidRPr="003C2A0F" w:rsidRDefault="00E9608A" w:rsidP="00642948">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ab/>
        <w:t xml:space="preserve">Sin embargo, no sería correcto ver la crisis actual de la economía mexicana como un mero reflejo pasivo de los desarrollos críticos de la economía global. Dentro de ese modelo neoliberal global, la economía mexicana ha sido guiada en las últimas décadas, al menos </w:t>
      </w:r>
      <w:r w:rsidRPr="003C2A0F">
        <w:rPr>
          <w:rFonts w:ascii="Times New Roman" w:hAnsi="Times New Roman" w:cs="Times New Roman"/>
          <w:sz w:val="24"/>
          <w:szCs w:val="24"/>
        </w:rPr>
        <w:lastRenderedPageBreak/>
        <w:t xml:space="preserve">desde la firma del TLCAN, hacia un nuevo modelo que bien puede denominarse como </w:t>
      </w:r>
      <w:r w:rsidRPr="003C2A0F">
        <w:rPr>
          <w:rFonts w:ascii="Times New Roman" w:hAnsi="Times New Roman" w:cs="Times New Roman"/>
          <w:i/>
          <w:sz w:val="24"/>
          <w:szCs w:val="24"/>
        </w:rPr>
        <w:t>extractivista/exportador</w:t>
      </w:r>
      <w:r w:rsidRPr="003C2A0F">
        <w:rPr>
          <w:rFonts w:ascii="Times New Roman" w:hAnsi="Times New Roman" w:cs="Times New Roman"/>
          <w:sz w:val="24"/>
          <w:szCs w:val="24"/>
        </w:rPr>
        <w:t>, basado en las exportaciones de las industrias petrolera y  minera, de la industria maquiladora -formal y encubierta, como la automotriz (</w:t>
      </w:r>
      <w:r w:rsidR="00094FF1" w:rsidRPr="003C2A0F">
        <w:rPr>
          <w:rFonts w:ascii="Times New Roman" w:hAnsi="Times New Roman" w:cs="Times New Roman"/>
          <w:sz w:val="24"/>
          <w:szCs w:val="24"/>
        </w:rPr>
        <w:t>C</w:t>
      </w:r>
      <w:r w:rsidR="00094FF1">
        <w:rPr>
          <w:rFonts w:ascii="Times New Roman" w:hAnsi="Times New Roman" w:cs="Times New Roman"/>
          <w:sz w:val="24"/>
          <w:szCs w:val="24"/>
        </w:rPr>
        <w:t>y</w:t>
      </w:r>
      <w:r w:rsidR="00094FF1" w:rsidRPr="003C2A0F">
        <w:rPr>
          <w:rFonts w:ascii="Times New Roman" w:hAnsi="Times New Roman" w:cs="Times New Roman"/>
          <w:sz w:val="24"/>
          <w:szCs w:val="24"/>
        </w:rPr>
        <w:t xml:space="preserve">pher </w:t>
      </w:r>
      <w:r w:rsidR="00094FF1">
        <w:rPr>
          <w:rFonts w:ascii="Times New Roman" w:hAnsi="Times New Roman" w:cs="Times New Roman"/>
          <w:sz w:val="24"/>
          <w:szCs w:val="24"/>
        </w:rPr>
        <w:t xml:space="preserve">y </w:t>
      </w:r>
      <w:r w:rsidRPr="003C2A0F">
        <w:rPr>
          <w:rFonts w:ascii="Times New Roman" w:hAnsi="Times New Roman" w:cs="Times New Roman"/>
          <w:sz w:val="24"/>
          <w:szCs w:val="24"/>
        </w:rPr>
        <w:t>Delgado Wise 2012)</w:t>
      </w:r>
      <w:r w:rsidRPr="003C2A0F">
        <w:rPr>
          <w:rStyle w:val="Refdenotaalpie"/>
          <w:rFonts w:ascii="Times New Roman" w:hAnsi="Times New Roman" w:cs="Times New Roman"/>
          <w:sz w:val="24"/>
          <w:szCs w:val="24"/>
        </w:rPr>
        <w:footnoteReference w:id="6"/>
      </w:r>
      <w:r w:rsidRPr="003C2A0F">
        <w:rPr>
          <w:rFonts w:ascii="Times New Roman" w:hAnsi="Times New Roman" w:cs="Times New Roman"/>
          <w:sz w:val="24"/>
          <w:szCs w:val="24"/>
        </w:rPr>
        <w:t xml:space="preserve">-, de la agricultura y de la actividad turística. Pero también, y esto es de primordial importancia, en la exportación masiva y sostenida de fuerza de trabajo barata y vulnerable a los Estados Unidos, en lo que constituye un claro proceso de consolidación de un </w:t>
      </w:r>
      <w:r w:rsidRPr="003C2A0F">
        <w:rPr>
          <w:rFonts w:ascii="Times New Roman" w:hAnsi="Times New Roman" w:cs="Times New Roman"/>
          <w:i/>
          <w:sz w:val="24"/>
          <w:szCs w:val="24"/>
        </w:rPr>
        <w:t>mercado transnacional de trabajo norteamericano</w:t>
      </w:r>
      <w:r w:rsidRPr="003C2A0F">
        <w:rPr>
          <w:rFonts w:ascii="Times New Roman" w:hAnsi="Times New Roman" w:cs="Times New Roman"/>
          <w:sz w:val="24"/>
          <w:szCs w:val="24"/>
        </w:rPr>
        <w:t xml:space="preserve"> (Canales, 2000; </w:t>
      </w:r>
      <w:r w:rsidR="00094FF1" w:rsidRPr="003C2A0F">
        <w:rPr>
          <w:rFonts w:ascii="Times New Roman" w:hAnsi="Times New Roman" w:cs="Times New Roman"/>
          <w:sz w:val="24"/>
          <w:szCs w:val="24"/>
        </w:rPr>
        <w:t>Cypher</w:t>
      </w:r>
      <w:r w:rsidR="00094FF1">
        <w:rPr>
          <w:rFonts w:ascii="Times New Roman" w:hAnsi="Times New Roman" w:cs="Times New Roman"/>
          <w:sz w:val="24"/>
          <w:szCs w:val="24"/>
        </w:rPr>
        <w:t xml:space="preserve"> y</w:t>
      </w:r>
      <w:r w:rsidR="00094FF1" w:rsidRPr="003C2A0F">
        <w:rPr>
          <w:rFonts w:ascii="Times New Roman" w:hAnsi="Times New Roman" w:cs="Times New Roman"/>
          <w:sz w:val="24"/>
          <w:szCs w:val="24"/>
        </w:rPr>
        <w:t xml:space="preserve"> </w:t>
      </w:r>
      <w:r w:rsidRPr="003C2A0F">
        <w:rPr>
          <w:rFonts w:ascii="Times New Roman" w:hAnsi="Times New Roman" w:cs="Times New Roman"/>
          <w:sz w:val="24"/>
          <w:szCs w:val="24"/>
        </w:rPr>
        <w:t>Delgado Wise</w:t>
      </w:r>
      <w:r w:rsidR="00094FF1">
        <w:rPr>
          <w:rFonts w:ascii="Times New Roman" w:hAnsi="Times New Roman" w:cs="Times New Roman"/>
          <w:sz w:val="24"/>
          <w:szCs w:val="24"/>
        </w:rPr>
        <w:t>,</w:t>
      </w:r>
      <w:r w:rsidRPr="003C2A0F">
        <w:rPr>
          <w:rFonts w:ascii="Times New Roman" w:hAnsi="Times New Roman" w:cs="Times New Roman"/>
          <w:sz w:val="24"/>
          <w:szCs w:val="24"/>
        </w:rPr>
        <w:t xml:space="preserve"> </w:t>
      </w:r>
      <w:r>
        <w:rPr>
          <w:rFonts w:ascii="Times New Roman" w:hAnsi="Times New Roman" w:cs="Times New Roman"/>
          <w:sz w:val="24"/>
          <w:szCs w:val="24"/>
        </w:rPr>
        <w:t>2012</w:t>
      </w:r>
      <w:r w:rsidRPr="003C2A0F">
        <w:rPr>
          <w:rFonts w:ascii="Times New Roman" w:hAnsi="Times New Roman" w:cs="Times New Roman"/>
          <w:sz w:val="24"/>
          <w:szCs w:val="24"/>
        </w:rPr>
        <w:t>; Herrera</w:t>
      </w:r>
      <w:r>
        <w:rPr>
          <w:rFonts w:ascii="Times New Roman" w:hAnsi="Times New Roman" w:cs="Times New Roman"/>
          <w:sz w:val="24"/>
          <w:szCs w:val="24"/>
        </w:rPr>
        <w:t xml:space="preserve"> Lima</w:t>
      </w:r>
      <w:r w:rsidRPr="003C2A0F">
        <w:rPr>
          <w:rFonts w:ascii="Times New Roman" w:hAnsi="Times New Roman" w:cs="Times New Roman"/>
          <w:sz w:val="24"/>
          <w:szCs w:val="24"/>
        </w:rPr>
        <w:t>, 2007; Sandoval, 2007). Recientemente, sobre todo en los años de la crisis actual, a estas exportaciones se ha sumado para cerrar el círculo vicioso, la de capitales, tanto en la forma de inversión mexicana directa en el exterior (IME), como en la de cuentas de mexicanos en diversos países, algunos de ellos paraísos fiscales</w:t>
      </w:r>
      <w:r w:rsidRPr="003C2A0F">
        <w:rPr>
          <w:rStyle w:val="Refdenotaalpie"/>
          <w:rFonts w:ascii="Times New Roman" w:hAnsi="Times New Roman" w:cs="Times New Roman"/>
          <w:sz w:val="24"/>
          <w:szCs w:val="24"/>
        </w:rPr>
        <w:footnoteReference w:id="7"/>
      </w:r>
      <w:r w:rsidRPr="003C2A0F">
        <w:rPr>
          <w:rFonts w:ascii="Times New Roman" w:hAnsi="Times New Roman" w:cs="Times New Roman"/>
          <w:sz w:val="24"/>
          <w:szCs w:val="24"/>
        </w:rPr>
        <w:t>. Y es precisamente ese modelo el que parece estar hoy en crisis.</w:t>
      </w:r>
    </w:p>
    <w:p w:rsidR="00E9608A" w:rsidRPr="003C2A0F" w:rsidRDefault="00E9608A" w:rsidP="00642948">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ab/>
      </w:r>
      <w:r w:rsidR="008A39A8">
        <w:rPr>
          <w:rFonts w:ascii="Times New Roman" w:hAnsi="Times New Roman" w:cs="Times New Roman"/>
          <w:sz w:val="24"/>
          <w:szCs w:val="24"/>
        </w:rPr>
        <w:t>E</w:t>
      </w:r>
      <w:r w:rsidRPr="003C2A0F">
        <w:rPr>
          <w:rFonts w:ascii="Times New Roman" w:hAnsi="Times New Roman" w:cs="Times New Roman"/>
          <w:sz w:val="24"/>
          <w:szCs w:val="24"/>
        </w:rPr>
        <w:t xml:space="preserve">n este artículo, se hace un seguimiento del desenvolvimiento de tres de los pilares en los que debería haberse sustentado buena parte de la capacidad generadora de divisas de la economía mexicana: el petróleo, el turismo y la IED, en comparación con la evolución del ingreso de remesas en los años del TLCAN. Como se verá, éstas han sido la principal fuente de ingreso de divisas en el periodo, frente al comportamiento regresivo de las balanzas particulares de los otros tres rubros. Mismo que no se explica solamente por las volátiles características que les son propias y de la presencia de la crisis de 2008 y sus consecuencias recesivas, sino también por decisiones de política económica, como, por ejemplo, la de cancelar el crecimiento posible de la capacidad de refinación; y de </w:t>
      </w:r>
      <w:r w:rsidRPr="003C2A0F">
        <w:rPr>
          <w:rFonts w:ascii="Times New Roman" w:hAnsi="Times New Roman" w:cs="Times New Roman"/>
          <w:i/>
          <w:sz w:val="24"/>
          <w:szCs w:val="24"/>
        </w:rPr>
        <w:t>política política</w:t>
      </w:r>
      <w:r w:rsidRPr="003C2A0F">
        <w:rPr>
          <w:rFonts w:ascii="Times New Roman" w:hAnsi="Times New Roman" w:cs="Times New Roman"/>
          <w:sz w:val="24"/>
          <w:szCs w:val="24"/>
        </w:rPr>
        <w:t>, como la de declarar una guerra incoherente al crimen organizado; junto con otras que se analizarán a lo largo del texto.</w:t>
      </w:r>
    </w:p>
    <w:p w:rsidR="00E9608A" w:rsidRPr="003C2A0F" w:rsidRDefault="00E9608A" w:rsidP="00642948">
      <w:pPr>
        <w:spacing w:line="360" w:lineRule="auto"/>
        <w:jc w:val="both"/>
        <w:rPr>
          <w:rFonts w:ascii="Times New Roman" w:hAnsi="Times New Roman" w:cs="Times New Roman"/>
          <w:sz w:val="24"/>
          <w:szCs w:val="24"/>
        </w:rPr>
      </w:pPr>
      <w:r w:rsidRPr="003C2A0F">
        <w:rPr>
          <w:rFonts w:ascii="Times New Roman" w:hAnsi="Times New Roman" w:cs="Times New Roman"/>
          <w:sz w:val="24"/>
          <w:szCs w:val="24"/>
        </w:rPr>
        <w:tab/>
        <w:t xml:space="preserve">Para concluir esta introducción, resulta de gran utilidad y pertinencia reproducir dos conclusiones a las que arriba Rolando Cordera (2015, p.24) al analizar el </w:t>
      </w:r>
      <w:r w:rsidRPr="003C2A0F">
        <w:rPr>
          <w:rFonts w:ascii="Times New Roman" w:hAnsi="Times New Roman" w:cs="Times New Roman"/>
          <w:i/>
          <w:sz w:val="24"/>
          <w:szCs w:val="24"/>
        </w:rPr>
        <w:t>Milagro Mexicano... A 20 años del TLCAN</w:t>
      </w:r>
      <w:r w:rsidRPr="003C2A0F">
        <w:rPr>
          <w:rFonts w:ascii="Times New Roman" w:hAnsi="Times New Roman" w:cs="Times New Roman"/>
          <w:sz w:val="24"/>
          <w:szCs w:val="24"/>
        </w:rPr>
        <w:t>:</w:t>
      </w:r>
    </w:p>
    <w:p w:rsidR="00E9608A" w:rsidRPr="003C2A0F" w:rsidRDefault="00E9608A" w:rsidP="00D10D7F">
      <w:pPr>
        <w:spacing w:line="240" w:lineRule="auto"/>
        <w:ind w:left="709"/>
        <w:jc w:val="both"/>
        <w:rPr>
          <w:rFonts w:ascii="Times New Roman" w:hAnsi="Times New Roman" w:cs="Times New Roman"/>
          <w:i/>
          <w:sz w:val="24"/>
          <w:szCs w:val="24"/>
        </w:rPr>
      </w:pPr>
      <w:r w:rsidRPr="003C2A0F">
        <w:rPr>
          <w:rFonts w:ascii="Times New Roman" w:hAnsi="Times New Roman" w:cs="Times New Roman"/>
          <w:i/>
          <w:sz w:val="24"/>
          <w:szCs w:val="24"/>
        </w:rPr>
        <w:t>1) Que para un país en desarrollo las exportaciones no son un fin en sí mismo, sino que deben servir para incrementar su capacidad para importar; y</w:t>
      </w:r>
    </w:p>
    <w:p w:rsidR="00E9608A" w:rsidRDefault="00E9608A" w:rsidP="004B5EFB">
      <w:pPr>
        <w:spacing w:line="240" w:lineRule="auto"/>
        <w:ind w:left="709"/>
        <w:jc w:val="both"/>
        <w:rPr>
          <w:rFonts w:ascii="Times New Roman" w:hAnsi="Times New Roman" w:cs="Times New Roman"/>
          <w:i/>
          <w:sz w:val="24"/>
          <w:szCs w:val="24"/>
        </w:rPr>
      </w:pPr>
      <w:r w:rsidRPr="003C2A0F">
        <w:rPr>
          <w:rFonts w:ascii="Times New Roman" w:hAnsi="Times New Roman" w:cs="Times New Roman"/>
          <w:i/>
          <w:sz w:val="24"/>
          <w:szCs w:val="24"/>
        </w:rPr>
        <w:lastRenderedPageBreak/>
        <w:t>2) Que estas importaciones sólo podrán rendir su servicio al desarrollo si se inscriben en un proyecto nacional de industrialización (...), como dijera Romano Prodi: no hay éxito exportador sin un mercado interno robusto, y no puede haber mercado interno robusto alguno sin política industrial</w:t>
      </w:r>
    </w:p>
    <w:p w:rsidR="00BC733E" w:rsidRDefault="00E9608A" w:rsidP="0098615B">
      <w:pPr>
        <w:spacing w:after="0" w:line="360" w:lineRule="auto"/>
        <w:jc w:val="both"/>
        <w:rPr>
          <w:rFonts w:ascii="Times New Roman" w:hAnsi="Times New Roman" w:cs="Times New Roman"/>
          <w:sz w:val="24"/>
          <w:szCs w:val="24"/>
        </w:rPr>
      </w:pPr>
      <w:r w:rsidRPr="003C2A0F">
        <w:rPr>
          <w:rFonts w:ascii="Times New Roman" w:hAnsi="Times New Roman" w:cs="Times New Roman"/>
          <w:sz w:val="24"/>
          <w:szCs w:val="24"/>
        </w:rPr>
        <w:t xml:space="preserve">Pues bien, ni las exportaciones han servido para mejorar la capacidad importadora, ni las importaciones han estado al servicio de una política industrial ni mucho menos puede decirse que en México haya un mercado interno, ya no </w:t>
      </w:r>
      <w:r w:rsidR="00CE7231">
        <w:rPr>
          <w:rFonts w:ascii="Times New Roman" w:hAnsi="Times New Roman" w:cs="Times New Roman"/>
          <w:sz w:val="24"/>
          <w:szCs w:val="24"/>
        </w:rPr>
        <w:t>robu</w:t>
      </w:r>
      <w:r w:rsidR="00DE0E79">
        <w:rPr>
          <w:rFonts w:ascii="Times New Roman" w:hAnsi="Times New Roman" w:cs="Times New Roman"/>
          <w:sz w:val="24"/>
          <w:szCs w:val="24"/>
        </w:rPr>
        <w:t>s</w:t>
      </w:r>
      <w:r w:rsidR="00CE7231">
        <w:rPr>
          <w:rFonts w:ascii="Times New Roman" w:hAnsi="Times New Roman" w:cs="Times New Roman"/>
          <w:sz w:val="24"/>
          <w:szCs w:val="24"/>
        </w:rPr>
        <w:t>to</w:t>
      </w:r>
      <w:r w:rsidRPr="003C2A0F">
        <w:rPr>
          <w:rFonts w:ascii="Times New Roman" w:hAnsi="Times New Roman" w:cs="Times New Roman"/>
          <w:sz w:val="24"/>
          <w:szCs w:val="24"/>
        </w:rPr>
        <w:t>, ni siquiera relevante. Lo que sí es claro es que muchas de las principales  exportaciones mexicanas son cada vez menos capaces de financiar las importaciones y que esa capacidad, en toda caso, descansa cada vez más en la exportación, directa e indirecta, de una mercancía particular, que por lo demás ha estado fuera intencionalmente de las negociaciones del TLCAN: la fuerza de trabajo.</w:t>
      </w:r>
    </w:p>
    <w:p w:rsidR="00642948" w:rsidRDefault="00642948" w:rsidP="00642948">
      <w:pPr>
        <w:spacing w:after="0" w:line="360" w:lineRule="auto"/>
        <w:jc w:val="both"/>
        <w:rPr>
          <w:rFonts w:ascii="Times New Roman" w:hAnsi="Times New Roman" w:cs="Times New Roman"/>
          <w:sz w:val="24"/>
          <w:szCs w:val="24"/>
        </w:rPr>
      </w:pP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 xml:space="preserve">II. </w:t>
      </w:r>
      <w:r w:rsidR="00C504CE">
        <w:rPr>
          <w:rFonts w:ascii="Times New Roman" w:hAnsi="Times New Roman" w:cs="Times New Roman"/>
          <w:sz w:val="24"/>
          <w:szCs w:val="24"/>
        </w:rPr>
        <w:t>SUBSIDIAR PARA ATRAER CAPITALES, SUBSIDIAR PARA EXPORTARLOS</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 xml:space="preserve">El modelo económico mexicano de los años del neoliberalismo supone para su éxito la llegada constante de importantes flujos de Inversión Extranjera Directa (IED) al país. Desde la promoción hasta la firma del TLCAN, esa fue una de las razones principales que se adujeron: la necesidad de una apertura al exterior para incorporarse a un mundo globalizado en el que la economía nacional fuera atractiva para las corrientes de capital (Guillén Romo, H., 1997). Esa razón ha sido, nuevamente, la que se adujo con insistencia para promover y justificar la desnacionalización del sector energético del país, en los tiempos recientes. De esta llegada masiva de capitales extranjeros dependerían metas nacionales como el crecimiento económico, la generación de empleos, la recuperación salarial y el sano funcionamiento de las finanzas del país (Cabrera, 2015). Por ello, ahora, se hacía necesaria la instrumentación de las llamadas </w:t>
      </w:r>
      <w:r w:rsidRPr="00BC733E">
        <w:rPr>
          <w:rFonts w:ascii="Times New Roman" w:hAnsi="Times New Roman" w:cs="Times New Roman"/>
          <w:i/>
          <w:sz w:val="24"/>
          <w:szCs w:val="24"/>
        </w:rPr>
        <w:t>reformas estructurales</w:t>
      </w:r>
      <w:r w:rsidRPr="00BC733E">
        <w:rPr>
          <w:rFonts w:ascii="Times New Roman" w:hAnsi="Times New Roman" w:cs="Times New Roman"/>
          <w:sz w:val="24"/>
          <w:szCs w:val="24"/>
        </w:rPr>
        <w:t>, como la energética, la laboral, la educativa, la fiscal, la de telecomunicaciones, la de transparencia e, incluso, la electoral más reciente</w:t>
      </w:r>
      <w:r w:rsidRPr="00BC733E">
        <w:rPr>
          <w:rFonts w:ascii="Times New Roman" w:hAnsi="Times New Roman" w:cs="Times New Roman"/>
          <w:sz w:val="24"/>
          <w:szCs w:val="24"/>
          <w:vertAlign w:val="superscript"/>
        </w:rPr>
        <w:footnoteReference w:id="8"/>
      </w:r>
      <w:r w:rsidRPr="00BC733E">
        <w:rPr>
          <w:rFonts w:ascii="Times New Roman" w:hAnsi="Times New Roman" w:cs="Times New Roman"/>
          <w:sz w:val="24"/>
          <w:szCs w:val="24"/>
        </w:rPr>
        <w:t>. Tal y como las reformas anteriores se hacían indispensables a partir de 1994</w:t>
      </w:r>
      <w:r w:rsidRPr="00BC733E">
        <w:rPr>
          <w:rFonts w:ascii="Times New Roman" w:hAnsi="Times New Roman" w:cs="Times New Roman"/>
          <w:sz w:val="24"/>
          <w:szCs w:val="24"/>
          <w:vertAlign w:val="superscript"/>
        </w:rPr>
        <w:footnoteReference w:id="9"/>
      </w:r>
      <w:r w:rsidRPr="00BC733E">
        <w:rPr>
          <w:rFonts w:ascii="Times New Roman" w:hAnsi="Times New Roman" w:cs="Times New Roman"/>
          <w:sz w:val="24"/>
          <w:szCs w:val="24"/>
        </w:rPr>
        <w:t xml:space="preserve"> (Ibid.). Año, sí, del arranque del TLCAN, pero año </w:t>
      </w:r>
      <w:r w:rsidRPr="00BC733E">
        <w:rPr>
          <w:rFonts w:ascii="Times New Roman" w:hAnsi="Times New Roman" w:cs="Times New Roman"/>
          <w:sz w:val="24"/>
          <w:szCs w:val="24"/>
        </w:rPr>
        <w:lastRenderedPageBreak/>
        <w:t>también de la amenaza de la mayor catástrofe que ha amenazado a la economía mexicana en tiempos recientes previos a la incert</w:t>
      </w:r>
      <w:r w:rsidR="0064212F">
        <w:rPr>
          <w:rFonts w:ascii="Times New Roman" w:hAnsi="Times New Roman" w:cs="Times New Roman"/>
          <w:sz w:val="24"/>
          <w:szCs w:val="24"/>
        </w:rPr>
        <w:t>idumbre petrolera de 2015 (</w:t>
      </w:r>
      <w:r w:rsidRPr="00BC733E">
        <w:rPr>
          <w:rFonts w:ascii="Times New Roman" w:hAnsi="Times New Roman" w:cs="Times New Roman"/>
          <w:sz w:val="24"/>
          <w:szCs w:val="24"/>
        </w:rPr>
        <w:t>Guillén Romo, 1997).</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Pero el fantasma de 1994, precisamente, parece amenazar de nueva cuenta al gobierno mexicano. Las noticias recientes sobre la inversión extranjera en México y la salida de capitales del país han sido alarmantes en los últimos meses de 2014 y los</w:t>
      </w:r>
      <w:r w:rsidR="00C51DB7">
        <w:rPr>
          <w:rFonts w:ascii="Times New Roman" w:hAnsi="Times New Roman" w:cs="Times New Roman"/>
          <w:sz w:val="24"/>
          <w:szCs w:val="24"/>
        </w:rPr>
        <w:t xml:space="preserve"> primeros de 2015. Caída </w:t>
      </w:r>
      <w:r w:rsidRPr="00BC733E">
        <w:rPr>
          <w:rFonts w:ascii="Times New Roman" w:hAnsi="Times New Roman" w:cs="Times New Roman"/>
          <w:sz w:val="24"/>
          <w:szCs w:val="24"/>
        </w:rPr>
        <w:t xml:space="preserve">de la IED, salida </w:t>
      </w:r>
      <w:r w:rsidRPr="00BC733E">
        <w:rPr>
          <w:rFonts w:ascii="Times New Roman" w:hAnsi="Times New Roman" w:cs="Times New Roman"/>
          <w:i/>
          <w:sz w:val="24"/>
          <w:szCs w:val="24"/>
        </w:rPr>
        <w:t>oscura</w:t>
      </w:r>
      <w:r w:rsidRPr="00BC733E">
        <w:rPr>
          <w:rFonts w:ascii="Times New Roman" w:hAnsi="Times New Roman" w:cs="Times New Roman"/>
          <w:sz w:val="24"/>
          <w:szCs w:val="24"/>
        </w:rPr>
        <w:t xml:space="preserve"> de capitales, crecientes la inversión y el ahorro de mexicanos en el exterior, salida de la inversión en cartera (</w:t>
      </w:r>
      <w:r w:rsidRPr="00BC733E">
        <w:rPr>
          <w:rFonts w:ascii="Times New Roman" w:hAnsi="Times New Roman" w:cs="Times New Roman"/>
          <w:i/>
          <w:sz w:val="24"/>
          <w:szCs w:val="24"/>
        </w:rPr>
        <w:t>capitales golondrinos</w:t>
      </w:r>
      <w:r w:rsidRPr="00BC733E">
        <w:rPr>
          <w:rFonts w:ascii="Times New Roman" w:hAnsi="Times New Roman" w:cs="Times New Roman"/>
          <w:sz w:val="24"/>
          <w:szCs w:val="24"/>
        </w:rPr>
        <w:t xml:space="preserve">)... Alarmantes noticias, precisamente cuando se esperaba la afluencia masiva de capitales a raíz de la apertura energética, que coincide en el tiempo con la </w:t>
      </w:r>
      <w:r w:rsidRPr="00BC733E">
        <w:rPr>
          <w:rFonts w:ascii="Times New Roman" w:hAnsi="Times New Roman" w:cs="Times New Roman"/>
          <w:i/>
          <w:sz w:val="24"/>
          <w:szCs w:val="24"/>
        </w:rPr>
        <w:t>nueva guerra de precios del petróleo</w:t>
      </w:r>
      <w:r w:rsidRPr="00BC733E">
        <w:rPr>
          <w:rFonts w:ascii="Times New Roman" w:hAnsi="Times New Roman" w:cs="Times New Roman"/>
          <w:sz w:val="24"/>
          <w:szCs w:val="24"/>
        </w:rPr>
        <w:t xml:space="preserve"> que, inevitablemente, pospone las decisiones de inversión de las grandes compañías, sobre todo en el campo de la extracción de combustibles de esquistos; pero ¿se deberá todo a la malhadada guerra?</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 xml:space="preserve">Vale la pena revisar las tendencias de la cuenta de inversiones de capital en México en el periodo del TLCAN para poder observar que las tendencias dominantes ya anunciaban este desenlace, en el que la caída de los precios internacionales del crudo ha sido un detonante violento, pero no la causa de fondo. La caída del saldo favorable entre la IED y la Inversión </w:t>
      </w:r>
      <w:r w:rsidR="00C51DB7">
        <w:rPr>
          <w:rFonts w:ascii="Times New Roman" w:hAnsi="Times New Roman" w:cs="Times New Roman"/>
          <w:sz w:val="24"/>
          <w:szCs w:val="24"/>
        </w:rPr>
        <w:t>Mexicana</w:t>
      </w:r>
      <w:r w:rsidRPr="00BC733E">
        <w:rPr>
          <w:rFonts w:ascii="Times New Roman" w:hAnsi="Times New Roman" w:cs="Times New Roman"/>
          <w:sz w:val="24"/>
          <w:szCs w:val="24"/>
        </w:rPr>
        <w:t xml:space="preserve"> en el Exterior (IME), la creciente preferencia de los inversionistas por la inversión en cartera y la salida </w:t>
      </w:r>
      <w:r w:rsidRPr="00BC733E">
        <w:rPr>
          <w:rFonts w:ascii="Times New Roman" w:hAnsi="Times New Roman" w:cs="Times New Roman"/>
          <w:i/>
          <w:sz w:val="24"/>
          <w:szCs w:val="24"/>
        </w:rPr>
        <w:t>oscura</w:t>
      </w:r>
      <w:r w:rsidRPr="00BC733E">
        <w:rPr>
          <w:rFonts w:ascii="Times New Roman" w:hAnsi="Times New Roman" w:cs="Times New Roman"/>
          <w:sz w:val="24"/>
          <w:szCs w:val="24"/>
        </w:rPr>
        <w:t xml:space="preserve"> de capitales del país, ya estaban presentes en la economía mexicana mucho antes de 2014.</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Aquí, el análisis se limita a la comparación entre los dos flujos principales de inversión: la que entra a México como IED y la que sale del país para ser invertida fuera de las fronteras nacionales (IME), para más adelante comparar su impacto en la producción de divisas con las que genera el envío de remesas de los connacionales en el extranjero</w:t>
      </w:r>
      <w:r w:rsidRPr="00BC733E">
        <w:rPr>
          <w:rFonts w:ascii="Times New Roman" w:hAnsi="Times New Roman" w:cs="Times New Roman"/>
          <w:sz w:val="24"/>
          <w:szCs w:val="24"/>
          <w:vertAlign w:val="superscript"/>
        </w:rPr>
        <w:footnoteReference w:id="10"/>
      </w:r>
      <w:r w:rsidRPr="00BC733E">
        <w:rPr>
          <w:rFonts w:ascii="Times New Roman" w:hAnsi="Times New Roman" w:cs="Times New Roman"/>
          <w:sz w:val="24"/>
          <w:szCs w:val="24"/>
        </w:rPr>
        <w:t>.</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Además de ser 1994 el año de arranque del TLCAN, para la IED es un buen momento para iniciar las comparaciones, debido a que fue cuando cambió la metodología de cálculo que se sigue utilizando hasta la actualidad (Márquez Ayala, 2005). Por el lado de la IME, las cuentas deben iniciarse en 2001, cuando este rubro empieza a registrarse en las cuentas oficiales.</w:t>
      </w:r>
    </w:p>
    <w:p w:rsidR="00BC733E" w:rsidRDefault="00BC733E" w:rsidP="00642948">
      <w:pPr>
        <w:spacing w:after="0" w:line="360" w:lineRule="auto"/>
        <w:jc w:val="both"/>
        <w:rPr>
          <w:rFonts w:ascii="Times New Roman" w:hAnsi="Times New Roman" w:cs="Times New Roman"/>
          <w:bCs/>
          <w:sz w:val="24"/>
          <w:szCs w:val="24"/>
          <w:lang w:val="es-ES"/>
        </w:rPr>
      </w:pPr>
      <w:r w:rsidRPr="00BC733E">
        <w:rPr>
          <w:rFonts w:ascii="Times New Roman" w:hAnsi="Times New Roman" w:cs="Times New Roman"/>
          <w:sz w:val="24"/>
          <w:szCs w:val="24"/>
        </w:rPr>
        <w:lastRenderedPageBreak/>
        <w:tab/>
        <w:t>En los primeros siete años del TLCAN, de 1994 a 2000, entró al país un promedio de casi 12.5 m</w:t>
      </w:r>
      <w:r w:rsidR="00BF4024">
        <w:rPr>
          <w:rFonts w:ascii="Times New Roman" w:hAnsi="Times New Roman" w:cs="Times New Roman"/>
          <w:sz w:val="24"/>
          <w:szCs w:val="24"/>
        </w:rPr>
        <w:t xml:space="preserve">iles de </w:t>
      </w:r>
      <w:r w:rsidRPr="00BC733E">
        <w:rPr>
          <w:rFonts w:ascii="Times New Roman" w:hAnsi="Times New Roman" w:cs="Times New Roman"/>
          <w:sz w:val="24"/>
          <w:szCs w:val="24"/>
        </w:rPr>
        <w:t>m</w:t>
      </w:r>
      <w:r w:rsidR="00BF4024">
        <w:rPr>
          <w:rFonts w:ascii="Times New Roman" w:hAnsi="Times New Roman" w:cs="Times New Roman"/>
          <w:sz w:val="24"/>
          <w:szCs w:val="24"/>
        </w:rPr>
        <w:t xml:space="preserve">illones de </w:t>
      </w:r>
      <w:r w:rsidRPr="00BC733E">
        <w:rPr>
          <w:rFonts w:ascii="Times New Roman" w:hAnsi="Times New Roman" w:cs="Times New Roman"/>
          <w:sz w:val="24"/>
          <w:szCs w:val="24"/>
        </w:rPr>
        <w:t>d</w:t>
      </w:r>
      <w:r w:rsidR="00BF4024">
        <w:rPr>
          <w:rFonts w:ascii="Times New Roman" w:hAnsi="Times New Roman" w:cs="Times New Roman"/>
          <w:sz w:val="24"/>
          <w:szCs w:val="24"/>
        </w:rPr>
        <w:t>ólares (</w:t>
      </w:r>
      <w:r w:rsidR="00BF4024" w:rsidRPr="00BE0838">
        <w:rPr>
          <w:rFonts w:ascii="Times New Roman" w:hAnsi="Times New Roman" w:cs="Times New Roman"/>
          <w:b/>
          <w:sz w:val="24"/>
          <w:szCs w:val="24"/>
        </w:rPr>
        <w:t>en adelante: mmd</w:t>
      </w:r>
      <w:r w:rsidR="00BF4024">
        <w:rPr>
          <w:rFonts w:ascii="Times New Roman" w:hAnsi="Times New Roman" w:cs="Times New Roman"/>
          <w:sz w:val="24"/>
          <w:szCs w:val="24"/>
        </w:rPr>
        <w:t>)</w:t>
      </w:r>
      <w:r w:rsidRPr="00BC733E">
        <w:rPr>
          <w:rFonts w:ascii="Times New Roman" w:hAnsi="Times New Roman" w:cs="Times New Roman"/>
          <w:sz w:val="24"/>
          <w:szCs w:val="24"/>
        </w:rPr>
        <w:t xml:space="preserve"> </w:t>
      </w:r>
      <w:r w:rsidRPr="00BC733E">
        <w:rPr>
          <w:rFonts w:ascii="Times New Roman" w:hAnsi="Times New Roman" w:cs="Times New Roman"/>
          <w:bCs/>
          <w:sz w:val="24"/>
          <w:szCs w:val="24"/>
          <w:lang w:val="es-ES"/>
        </w:rPr>
        <w:t>anuales</w:t>
      </w:r>
      <w:r w:rsidRPr="00BC733E">
        <w:rPr>
          <w:rFonts w:ascii="Times New Roman" w:hAnsi="Times New Roman" w:cs="Times New Roman"/>
          <w:sz w:val="24"/>
          <w:szCs w:val="24"/>
        </w:rPr>
        <w:t xml:space="preserve"> (poco más de </w:t>
      </w:r>
      <w:r w:rsidRPr="00BC733E">
        <w:rPr>
          <w:rFonts w:ascii="Times New Roman" w:hAnsi="Times New Roman" w:cs="Times New Roman"/>
          <w:bCs/>
          <w:sz w:val="24"/>
          <w:szCs w:val="24"/>
          <w:lang w:val="es-ES"/>
        </w:rPr>
        <w:t>87 mmd en total), que supera ampliamente el promedio de cerca de 3</w:t>
      </w:r>
      <w:r w:rsidR="005661E6">
        <w:rPr>
          <w:rFonts w:ascii="Times New Roman" w:hAnsi="Times New Roman" w:cs="Times New Roman"/>
          <w:bCs/>
          <w:sz w:val="24"/>
          <w:szCs w:val="24"/>
          <w:lang w:val="es-ES"/>
        </w:rPr>
        <w:t>.7 mmd</w:t>
      </w:r>
      <w:r w:rsidR="00C60FE5">
        <w:rPr>
          <w:rFonts w:ascii="Times New Roman" w:hAnsi="Times New Roman" w:cs="Times New Roman"/>
          <w:bCs/>
          <w:sz w:val="24"/>
          <w:szCs w:val="24"/>
          <w:lang w:val="es-ES"/>
        </w:rPr>
        <w:t xml:space="preserve"> (poco menos de 18</w:t>
      </w:r>
      <w:r w:rsidR="005661E6">
        <w:rPr>
          <w:rFonts w:ascii="Times New Roman" w:hAnsi="Times New Roman" w:cs="Times New Roman"/>
          <w:bCs/>
          <w:sz w:val="24"/>
          <w:szCs w:val="24"/>
          <w:lang w:val="es-ES"/>
        </w:rPr>
        <w:t xml:space="preserve">.3 mmd en </w:t>
      </w:r>
      <w:r w:rsidRPr="00BC733E">
        <w:rPr>
          <w:rFonts w:ascii="Times New Roman" w:hAnsi="Times New Roman" w:cs="Times New Roman"/>
          <w:bCs/>
          <w:sz w:val="24"/>
          <w:szCs w:val="24"/>
          <w:lang w:val="es-ES"/>
        </w:rPr>
        <w:t>total) de los años 1989-1993 (</w:t>
      </w:r>
      <w:r w:rsidR="00A1691C">
        <w:rPr>
          <w:rFonts w:ascii="Times New Roman" w:hAnsi="Times New Roman" w:cs="Times New Roman"/>
          <w:bCs/>
          <w:sz w:val="24"/>
          <w:szCs w:val="24"/>
          <w:lang w:val="es-ES"/>
        </w:rPr>
        <w:t>Cuadro # 1)</w:t>
      </w:r>
      <w:r w:rsidR="005049CD">
        <w:rPr>
          <w:rFonts w:ascii="Times New Roman" w:hAnsi="Times New Roman" w:cs="Times New Roman"/>
          <w:bCs/>
          <w:sz w:val="24"/>
          <w:szCs w:val="24"/>
          <w:lang w:val="es-ES"/>
        </w:rPr>
        <w:t>.</w:t>
      </w:r>
      <w:r w:rsidRPr="00BC733E">
        <w:rPr>
          <w:rFonts w:ascii="Times New Roman" w:hAnsi="Times New Roman" w:cs="Times New Roman"/>
          <w:bCs/>
          <w:sz w:val="24"/>
          <w:szCs w:val="24"/>
          <w:lang w:val="es-ES"/>
        </w:rPr>
        <w:t xml:space="preserve"> Cabe recordar que fue precisamente en 1994 cuando se cambió en México la metodología de cálculo para la IED y por tanto no es posible saber si el incremento fue en su totalidad debido al entusiasmo de los inversionistas </w:t>
      </w:r>
      <w:r w:rsidR="0056392B">
        <w:rPr>
          <w:rFonts w:ascii="Times New Roman" w:hAnsi="Times New Roman" w:cs="Times New Roman"/>
          <w:bCs/>
          <w:sz w:val="24"/>
          <w:szCs w:val="24"/>
          <w:lang w:val="es-ES"/>
        </w:rPr>
        <w:t>por</w:t>
      </w:r>
      <w:r w:rsidRPr="00BC733E">
        <w:rPr>
          <w:rFonts w:ascii="Times New Roman" w:hAnsi="Times New Roman" w:cs="Times New Roman"/>
          <w:bCs/>
          <w:sz w:val="24"/>
          <w:szCs w:val="24"/>
          <w:lang w:val="es-ES"/>
        </w:rPr>
        <w:t xml:space="preserve"> el TLCAN. En todo caso, las inversiones parecen haber fluido con una gran regularidad, conforme a los planes de apertura económica.</w:t>
      </w:r>
    </w:p>
    <w:p w:rsidR="005661E6" w:rsidRDefault="005661E6" w:rsidP="00642948">
      <w:pPr>
        <w:spacing w:after="0" w:line="360" w:lineRule="auto"/>
        <w:jc w:val="both"/>
        <w:rPr>
          <w:rFonts w:ascii="Times New Roman" w:hAnsi="Times New Roman" w:cs="Times New Roman"/>
          <w:bCs/>
          <w:sz w:val="24"/>
          <w:szCs w:val="24"/>
          <w:lang w:val="es-ES"/>
        </w:rPr>
      </w:pPr>
    </w:p>
    <w:tbl>
      <w:tblPr>
        <w:tblStyle w:val="Tablaconcuadrcula"/>
        <w:tblW w:w="0" w:type="auto"/>
        <w:tblLook w:val="04A0"/>
      </w:tblPr>
      <w:tblGrid>
        <w:gridCol w:w="696"/>
        <w:gridCol w:w="696"/>
        <w:gridCol w:w="696"/>
        <w:gridCol w:w="696"/>
        <w:gridCol w:w="696"/>
        <w:gridCol w:w="696"/>
        <w:gridCol w:w="696"/>
        <w:gridCol w:w="696"/>
        <w:gridCol w:w="696"/>
        <w:gridCol w:w="696"/>
        <w:gridCol w:w="696"/>
        <w:gridCol w:w="696"/>
      </w:tblGrid>
      <w:tr w:rsidR="00A1691C" w:rsidTr="00C62AEB">
        <w:tc>
          <w:tcPr>
            <w:tcW w:w="8352" w:type="dxa"/>
            <w:gridSpan w:val="12"/>
          </w:tcPr>
          <w:p w:rsidR="00A1691C" w:rsidRPr="00C8070A" w:rsidRDefault="00C8070A" w:rsidP="00A1691C">
            <w:pPr>
              <w:jc w:val="center"/>
              <w:rPr>
                <w:rFonts w:ascii="Times New Roman" w:eastAsia="Times New Roman" w:hAnsi="Times New Roman" w:cs="Times New Roman"/>
                <w:b/>
                <w:color w:val="000000"/>
                <w:sz w:val="24"/>
                <w:szCs w:val="24"/>
                <w:lang w:eastAsia="es-MX"/>
              </w:rPr>
            </w:pPr>
            <w:r w:rsidRPr="00C8070A">
              <w:rPr>
                <w:rFonts w:ascii="Times New Roman" w:eastAsia="Times New Roman" w:hAnsi="Times New Roman" w:cs="Times New Roman"/>
                <w:b/>
                <w:color w:val="000000"/>
                <w:sz w:val="24"/>
                <w:szCs w:val="24"/>
                <w:lang w:eastAsia="es-MX"/>
              </w:rPr>
              <w:t>Cuadro</w:t>
            </w:r>
            <w:r w:rsidR="00A1691C" w:rsidRPr="00C8070A">
              <w:rPr>
                <w:rFonts w:ascii="Times New Roman" w:eastAsia="Times New Roman" w:hAnsi="Times New Roman" w:cs="Times New Roman"/>
                <w:b/>
                <w:color w:val="000000"/>
                <w:sz w:val="24"/>
                <w:szCs w:val="24"/>
                <w:lang w:eastAsia="es-MX"/>
              </w:rPr>
              <w:t xml:space="preserve"> # 1</w:t>
            </w:r>
          </w:p>
          <w:p w:rsidR="00A1691C" w:rsidRPr="00F37D93" w:rsidRDefault="00A1691C" w:rsidP="00A1691C">
            <w:pPr>
              <w:jc w:val="center"/>
              <w:rPr>
                <w:rFonts w:ascii="Times New Roman" w:eastAsia="Times New Roman" w:hAnsi="Times New Roman" w:cs="Times New Roman"/>
                <w:color w:val="000000"/>
                <w:sz w:val="24"/>
                <w:szCs w:val="24"/>
                <w:lang w:eastAsia="es-MX"/>
              </w:rPr>
            </w:pPr>
            <w:r w:rsidRPr="00F37D93">
              <w:rPr>
                <w:rFonts w:ascii="Times New Roman" w:eastAsia="Times New Roman" w:hAnsi="Times New Roman" w:cs="Times New Roman"/>
                <w:color w:val="000000"/>
                <w:sz w:val="24"/>
                <w:szCs w:val="24"/>
                <w:lang w:eastAsia="es-MX"/>
              </w:rPr>
              <w:t>INVERSIÓN EXTRANJERA DIRECTA, 1989-2000</w:t>
            </w:r>
          </w:p>
          <w:p w:rsidR="00A1691C" w:rsidRPr="00A1691C" w:rsidRDefault="00A1691C" w:rsidP="00A1691C">
            <w:pPr>
              <w:jc w:val="center"/>
              <w:rPr>
                <w:rFonts w:ascii="Times New Roman" w:eastAsia="Times New Roman" w:hAnsi="Times New Roman" w:cs="Times New Roman"/>
                <w:color w:val="000000"/>
                <w:sz w:val="24"/>
                <w:szCs w:val="24"/>
                <w:lang w:eastAsia="es-MX"/>
              </w:rPr>
            </w:pPr>
            <w:r w:rsidRPr="00F37D93">
              <w:rPr>
                <w:rFonts w:ascii="Times New Roman" w:eastAsia="Times New Roman" w:hAnsi="Times New Roman" w:cs="Times New Roman"/>
                <w:color w:val="000000"/>
                <w:sz w:val="24"/>
                <w:szCs w:val="24"/>
                <w:lang w:eastAsia="es-MX"/>
              </w:rPr>
              <w:t>(mmd)</w:t>
            </w:r>
          </w:p>
        </w:tc>
      </w:tr>
      <w:tr w:rsidR="00A1691C" w:rsidTr="00A1691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1989</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1990</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1991</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1992</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1993</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1994</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1995</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1996</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1997</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1998</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1999</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2000</w:t>
            </w:r>
          </w:p>
        </w:tc>
      </w:tr>
      <w:tr w:rsidR="00A1691C" w:rsidTr="00A1691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2.5</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3.7</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3.6</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3.6</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4.9</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10.6</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9.5</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9.2</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12.8</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12.8</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13.9</w:t>
            </w:r>
          </w:p>
        </w:tc>
        <w:tc>
          <w:tcPr>
            <w:tcW w:w="696" w:type="dxa"/>
          </w:tcPr>
          <w:p w:rsidR="00A1691C" w:rsidRDefault="00A1691C" w:rsidP="00642948">
            <w:pPr>
              <w:spacing w:line="360" w:lineRule="auto"/>
              <w:jc w:val="both"/>
              <w:rPr>
                <w:rFonts w:ascii="Times New Roman" w:hAnsi="Times New Roman" w:cs="Times New Roman"/>
                <w:bCs/>
                <w:sz w:val="24"/>
                <w:szCs w:val="24"/>
                <w:lang w:val="es-ES"/>
              </w:rPr>
            </w:pPr>
            <w:r w:rsidRPr="00F37D93">
              <w:rPr>
                <w:rFonts w:ascii="Times New Roman" w:eastAsia="Times New Roman" w:hAnsi="Times New Roman" w:cs="Times New Roman"/>
                <w:color w:val="000000"/>
                <w:sz w:val="24"/>
                <w:szCs w:val="24"/>
                <w:lang w:eastAsia="es-MX"/>
              </w:rPr>
              <w:t>18.3</w:t>
            </w:r>
          </w:p>
        </w:tc>
      </w:tr>
      <w:tr w:rsidR="00A1691C" w:rsidTr="00C62AEB">
        <w:tc>
          <w:tcPr>
            <w:tcW w:w="8352" w:type="dxa"/>
            <w:gridSpan w:val="12"/>
          </w:tcPr>
          <w:p w:rsidR="00A1691C" w:rsidRPr="00166C09" w:rsidRDefault="00166C09" w:rsidP="00166C09">
            <w:pPr>
              <w:jc w:val="both"/>
              <w:rPr>
                <w:rFonts w:ascii="Times New Roman" w:hAnsi="Times New Roman" w:cs="Times New Roman"/>
                <w:bCs/>
                <w:sz w:val="20"/>
                <w:szCs w:val="20"/>
                <w:lang w:val="es-ES"/>
              </w:rPr>
            </w:pPr>
            <w:r w:rsidRPr="00166C09">
              <w:rPr>
                <w:rFonts w:ascii="Times New Roman" w:hAnsi="Times New Roman" w:cs="Times New Roman"/>
                <w:bCs/>
                <w:sz w:val="20"/>
                <w:szCs w:val="20"/>
                <w:lang w:val="es-ES"/>
              </w:rPr>
              <w:t>Fuente:</w:t>
            </w:r>
            <w:r w:rsidRPr="00166C09">
              <w:rPr>
                <w:rFonts w:ascii="Arial" w:eastAsia="Times New Roman" w:hAnsi="Arial" w:cs="Arial"/>
                <w:color w:val="000000"/>
                <w:sz w:val="20"/>
                <w:szCs w:val="20"/>
                <w:lang w:eastAsia="es-MX"/>
              </w:rPr>
              <w:t xml:space="preserve"> </w:t>
            </w:r>
            <w:r w:rsidRPr="00166C09">
              <w:rPr>
                <w:rFonts w:ascii="Times New Roman" w:hAnsi="Times New Roman" w:cs="Times New Roman"/>
                <w:bCs/>
                <w:sz w:val="20"/>
                <w:szCs w:val="20"/>
              </w:rPr>
              <w:t>http://www.economia.gob.mx/comunidad-negocios/competitividad-normatividad/inversion-extranjera-directa/estadistica-oficial-de-ied-en-mexico (consultado el 25-12 14)</w:t>
            </w:r>
          </w:p>
        </w:tc>
      </w:tr>
    </w:tbl>
    <w:p w:rsidR="00166C09" w:rsidRDefault="00166C09" w:rsidP="00642948">
      <w:pPr>
        <w:spacing w:after="0" w:line="360" w:lineRule="auto"/>
        <w:jc w:val="both"/>
        <w:rPr>
          <w:rFonts w:ascii="Times New Roman" w:hAnsi="Times New Roman" w:cs="Times New Roman"/>
          <w:bCs/>
          <w:sz w:val="24"/>
          <w:szCs w:val="24"/>
          <w:lang w:val="es-ES"/>
        </w:rPr>
      </w:pP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bCs/>
          <w:sz w:val="24"/>
          <w:szCs w:val="24"/>
          <w:lang w:val="es-ES"/>
        </w:rPr>
        <w:t>El nuevo siglo se abrió para la IED con un salto sorprendente</w:t>
      </w:r>
      <w:r w:rsidR="009A6D50">
        <w:rPr>
          <w:rFonts w:ascii="Times New Roman" w:hAnsi="Times New Roman" w:cs="Times New Roman"/>
          <w:bCs/>
          <w:sz w:val="24"/>
          <w:szCs w:val="24"/>
          <w:lang w:val="es-ES"/>
        </w:rPr>
        <w:t xml:space="preserve"> (Gráfica # 1)</w:t>
      </w:r>
      <w:r w:rsidR="00C62AEB">
        <w:rPr>
          <w:rFonts w:ascii="Times New Roman" w:hAnsi="Times New Roman" w:cs="Times New Roman"/>
          <w:bCs/>
          <w:sz w:val="24"/>
          <w:szCs w:val="24"/>
          <w:lang w:val="es-ES"/>
        </w:rPr>
        <w:t>,</w:t>
      </w:r>
      <w:r w:rsidRPr="00BC733E">
        <w:rPr>
          <w:rFonts w:ascii="Times New Roman" w:hAnsi="Times New Roman" w:cs="Times New Roman"/>
          <w:bCs/>
          <w:sz w:val="24"/>
          <w:szCs w:val="24"/>
          <w:lang w:val="es-ES"/>
        </w:rPr>
        <w:t xml:space="preserve"> de </w:t>
      </w:r>
      <w:r w:rsidRPr="00BC733E">
        <w:rPr>
          <w:rFonts w:ascii="Times New Roman" w:hAnsi="Times New Roman" w:cs="Times New Roman"/>
          <w:bCs/>
          <w:sz w:val="24"/>
          <w:szCs w:val="24"/>
        </w:rPr>
        <w:t>18</w:t>
      </w:r>
      <w:r w:rsidR="0056392B">
        <w:rPr>
          <w:rFonts w:ascii="Times New Roman" w:hAnsi="Times New Roman" w:cs="Times New Roman"/>
          <w:bCs/>
          <w:sz w:val="24"/>
          <w:szCs w:val="24"/>
        </w:rPr>
        <w:t>.3</w:t>
      </w:r>
      <w:r w:rsidRPr="00BC733E">
        <w:rPr>
          <w:rFonts w:ascii="Times New Roman" w:hAnsi="Times New Roman" w:cs="Times New Roman"/>
          <w:bCs/>
          <w:sz w:val="24"/>
          <w:szCs w:val="24"/>
        </w:rPr>
        <w:t xml:space="preserve"> </w:t>
      </w:r>
      <w:r w:rsidR="0056392B">
        <w:rPr>
          <w:rFonts w:ascii="Times New Roman" w:hAnsi="Times New Roman" w:cs="Times New Roman"/>
          <w:bCs/>
          <w:sz w:val="24"/>
          <w:szCs w:val="24"/>
        </w:rPr>
        <w:t>m</w:t>
      </w:r>
      <w:r w:rsidRPr="00BC733E">
        <w:rPr>
          <w:rFonts w:ascii="Times New Roman" w:hAnsi="Times New Roman" w:cs="Times New Roman"/>
          <w:bCs/>
          <w:sz w:val="24"/>
          <w:szCs w:val="24"/>
        </w:rPr>
        <w:t>m</w:t>
      </w:r>
      <w:r w:rsidR="00C62AEB">
        <w:rPr>
          <w:rFonts w:ascii="Times New Roman" w:hAnsi="Times New Roman" w:cs="Times New Roman"/>
          <w:bCs/>
          <w:sz w:val="24"/>
          <w:szCs w:val="24"/>
        </w:rPr>
        <w:t>d en 2000 a casi 30 mmd en 2001,</w:t>
      </w:r>
      <w:r w:rsidRPr="00BC733E">
        <w:rPr>
          <w:rFonts w:ascii="Times New Roman" w:hAnsi="Times New Roman" w:cs="Times New Roman"/>
          <w:bCs/>
          <w:sz w:val="24"/>
          <w:szCs w:val="24"/>
          <w:lang w:val="es-ES"/>
        </w:rPr>
        <w:t xml:space="preserve"> que sin embargo tiene mucho de engañoso, ya que se debe en una gran medida a una sola operación, que se realizó por cierto a través de la bolsa de Valores, sin pagar impuestos al fisco mexicano. Se trata de la venta de Banamex a City Group por cerca de </w:t>
      </w:r>
      <w:r w:rsidRPr="00BC733E">
        <w:rPr>
          <w:rFonts w:ascii="Times New Roman" w:hAnsi="Times New Roman" w:cs="Times New Roman"/>
          <w:bCs/>
          <w:sz w:val="24"/>
          <w:szCs w:val="24"/>
        </w:rPr>
        <w:t>12 mmd</w:t>
      </w:r>
      <w:r w:rsidRPr="00BC733E">
        <w:rPr>
          <w:rFonts w:ascii="Times New Roman" w:hAnsi="Times New Roman" w:cs="Times New Roman"/>
          <w:bCs/>
          <w:sz w:val="24"/>
          <w:szCs w:val="24"/>
          <w:vertAlign w:val="superscript"/>
        </w:rPr>
        <w:footnoteReference w:id="11"/>
      </w:r>
      <w:r w:rsidRPr="00BC733E">
        <w:rPr>
          <w:rFonts w:ascii="Times New Roman" w:hAnsi="Times New Roman" w:cs="Times New Roman"/>
          <w:bCs/>
          <w:sz w:val="24"/>
          <w:szCs w:val="24"/>
        </w:rPr>
        <w:t>. No obstante, el comportamiento general de la IED fue sumamente brillante entre 2002 y 2007, inmediatamente antes de la crisis, con un promedio superior al de cualquier periodo anterior en la historia del país, aún sin contar el atípico 2001, de cerca de 24 mmd por año, alrededor del doble del periodo 1994-2000, para un total de 143.55 mmd; y con una cima histórica de casi 31.4 mmd en el año de 2007 (Ibid.).</w:t>
      </w:r>
    </w:p>
    <w:p w:rsidR="002761F5" w:rsidRDefault="002761F5" w:rsidP="00642948">
      <w:pPr>
        <w:spacing w:after="0" w:line="360" w:lineRule="auto"/>
        <w:jc w:val="both"/>
        <w:rPr>
          <w:rFonts w:ascii="Times New Roman" w:hAnsi="Times New Roman" w:cs="Times New Roman"/>
          <w:sz w:val="24"/>
          <w:szCs w:val="24"/>
        </w:rPr>
      </w:pPr>
    </w:p>
    <w:tbl>
      <w:tblPr>
        <w:tblStyle w:val="Tablaconcuadrcula"/>
        <w:tblW w:w="0" w:type="auto"/>
        <w:tblLook w:val="04A0"/>
      </w:tblPr>
      <w:tblGrid>
        <w:gridCol w:w="9054"/>
      </w:tblGrid>
      <w:tr w:rsidR="002761F5" w:rsidTr="002761F5">
        <w:tc>
          <w:tcPr>
            <w:tcW w:w="9054" w:type="dxa"/>
          </w:tcPr>
          <w:p w:rsidR="002761F5" w:rsidRDefault="002761F5" w:rsidP="0055468D">
            <w:pPr>
              <w:jc w:val="center"/>
              <w:rPr>
                <w:rFonts w:ascii="Times New Roman" w:hAnsi="Times New Roman" w:cs="Times New Roman"/>
                <w:sz w:val="24"/>
                <w:szCs w:val="24"/>
              </w:rPr>
            </w:pPr>
            <w:r>
              <w:rPr>
                <w:rFonts w:ascii="Times New Roman" w:hAnsi="Times New Roman" w:cs="Times New Roman"/>
                <w:sz w:val="24"/>
                <w:szCs w:val="24"/>
              </w:rPr>
              <w:t>GRÁFICA # 1</w:t>
            </w:r>
          </w:p>
          <w:p w:rsidR="002761F5" w:rsidRDefault="002761F5" w:rsidP="0055468D">
            <w:pPr>
              <w:jc w:val="center"/>
              <w:rPr>
                <w:rFonts w:ascii="Times New Roman" w:hAnsi="Times New Roman" w:cs="Times New Roman"/>
                <w:sz w:val="24"/>
                <w:szCs w:val="24"/>
              </w:rPr>
            </w:pPr>
            <w:r>
              <w:rPr>
                <w:rFonts w:ascii="Times New Roman" w:hAnsi="Times New Roman" w:cs="Times New Roman"/>
                <w:sz w:val="24"/>
                <w:szCs w:val="24"/>
              </w:rPr>
              <w:t>MÉXICO, Inversión Extranjera Directa, Inversión Mexicana en el Exterior y Saldo de la balanza de inversión, 2001-2013</w:t>
            </w:r>
            <w:r w:rsidR="006A6B31">
              <w:rPr>
                <w:rFonts w:ascii="Times New Roman" w:hAnsi="Times New Roman" w:cs="Times New Roman"/>
                <w:sz w:val="24"/>
                <w:szCs w:val="24"/>
              </w:rPr>
              <w:t xml:space="preserve"> </w:t>
            </w:r>
            <w:r>
              <w:rPr>
                <w:rFonts w:ascii="Times New Roman" w:hAnsi="Times New Roman" w:cs="Times New Roman"/>
                <w:sz w:val="24"/>
                <w:szCs w:val="24"/>
              </w:rPr>
              <w:t>(mmd)</w:t>
            </w:r>
          </w:p>
        </w:tc>
      </w:tr>
    </w:tbl>
    <w:p w:rsidR="002761F5" w:rsidRDefault="002761F5" w:rsidP="00642948">
      <w:pPr>
        <w:spacing w:after="0" w:line="360" w:lineRule="auto"/>
        <w:jc w:val="both"/>
        <w:rPr>
          <w:rFonts w:ascii="Times New Roman" w:hAnsi="Times New Roman" w:cs="Times New Roman"/>
          <w:sz w:val="24"/>
          <w:szCs w:val="24"/>
        </w:rPr>
      </w:pPr>
      <w:r w:rsidRPr="002761F5">
        <w:rPr>
          <w:rFonts w:ascii="Times New Roman" w:hAnsi="Times New Roman" w:cs="Times New Roman"/>
          <w:noProof/>
          <w:sz w:val="24"/>
          <w:szCs w:val="24"/>
          <w:lang w:eastAsia="es-MX"/>
        </w:rPr>
        <w:lastRenderedPageBreak/>
        <w:drawing>
          <wp:inline distT="0" distB="0" distL="0" distR="0">
            <wp:extent cx="5612130" cy="2877666"/>
            <wp:effectExtent l="19050" t="0" r="2667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Tablaconcuadrcula"/>
        <w:tblW w:w="0" w:type="auto"/>
        <w:tblLook w:val="04A0"/>
      </w:tblPr>
      <w:tblGrid>
        <w:gridCol w:w="9054"/>
      </w:tblGrid>
      <w:tr w:rsidR="002761F5" w:rsidTr="0055468D">
        <w:tc>
          <w:tcPr>
            <w:tcW w:w="13144" w:type="dxa"/>
          </w:tcPr>
          <w:p w:rsidR="002761F5" w:rsidRPr="006238FC" w:rsidRDefault="002761F5" w:rsidP="0055468D">
            <w:pPr>
              <w:rPr>
                <w:rFonts w:ascii="Times New Roman" w:hAnsi="Times New Roman" w:cs="Times New Roman"/>
                <w:sz w:val="20"/>
                <w:szCs w:val="20"/>
              </w:rPr>
            </w:pPr>
            <w:r w:rsidRPr="006238FC">
              <w:rPr>
                <w:rFonts w:ascii="Times New Roman" w:hAnsi="Times New Roman" w:cs="Times New Roman"/>
                <w:sz w:val="20"/>
                <w:szCs w:val="20"/>
              </w:rPr>
              <w:t xml:space="preserve">Fuente: CEPAL, 2012; para 2013: </w:t>
            </w:r>
            <w:r w:rsidRPr="008C7CE2">
              <w:rPr>
                <w:rFonts w:ascii="Times New Roman" w:hAnsi="Times New Roman" w:cs="Times New Roman"/>
                <w:bCs/>
                <w:sz w:val="20"/>
                <w:szCs w:val="20"/>
              </w:rPr>
              <w:t>http://www.banxico.org.mx/informacion-para-la-prensa/comunicados/sector-externo/balanza-de-pagos/%7B64F8BD8D-11D3-69D8-D617-71C60E032743%7D.pdf (última consulta: 27 02 15)</w:t>
            </w:r>
          </w:p>
        </w:tc>
      </w:tr>
    </w:tbl>
    <w:p w:rsidR="00C43CC9" w:rsidRDefault="00C43CC9" w:rsidP="00642948">
      <w:pPr>
        <w:spacing w:after="0" w:line="360" w:lineRule="auto"/>
        <w:jc w:val="both"/>
        <w:rPr>
          <w:rFonts w:ascii="Times New Roman" w:hAnsi="Times New Roman" w:cs="Times New Roman"/>
          <w:sz w:val="24"/>
          <w:szCs w:val="24"/>
        </w:rPr>
      </w:pPr>
    </w:p>
    <w:p w:rsidR="00BC733E" w:rsidRPr="005049CD" w:rsidRDefault="00BC733E" w:rsidP="00642948">
      <w:pPr>
        <w:spacing w:after="0" w:line="360" w:lineRule="auto"/>
        <w:jc w:val="both"/>
        <w:rPr>
          <w:rFonts w:ascii="Times New Roman" w:hAnsi="Times New Roman" w:cs="Times New Roman"/>
          <w:bCs/>
          <w:sz w:val="24"/>
          <w:szCs w:val="24"/>
          <w:lang w:val="es-ES"/>
        </w:rPr>
      </w:pPr>
      <w:r w:rsidRPr="00BC733E">
        <w:rPr>
          <w:rFonts w:ascii="Times New Roman" w:hAnsi="Times New Roman" w:cs="Times New Roman"/>
          <w:sz w:val="24"/>
          <w:szCs w:val="24"/>
        </w:rPr>
        <w:t>La llegada de la crisis tuvo por supuesto efectos en la IED en México, pero estos no fueron radicales (</w:t>
      </w:r>
      <w:r w:rsidR="009A6D50">
        <w:rPr>
          <w:rFonts w:ascii="Times New Roman" w:hAnsi="Times New Roman" w:cs="Times New Roman"/>
          <w:sz w:val="24"/>
          <w:szCs w:val="24"/>
        </w:rPr>
        <w:t>Gráfica # 1)</w:t>
      </w:r>
      <w:r w:rsidRPr="00BC733E">
        <w:rPr>
          <w:rFonts w:ascii="Times New Roman" w:hAnsi="Times New Roman" w:cs="Times New Roman"/>
          <w:sz w:val="24"/>
          <w:szCs w:val="24"/>
        </w:rPr>
        <w:t xml:space="preserve">. Sólo en 2009 se presenta un descenso brusco (de cerca de 29 mmd en el año anterior a poco más de 16.5 mmd), pero en los dos siguientes años el ingreso en este rubro se mantiene cercano al periodo anterior a la crisis, por encima de los 21 mmd. Los dos siguientes años son pocos típicos porque se presentan en ellos dos movimientos que rompen con las tendencias, pero no parecen alterar el curso general. En especial, el año 2012 aparece como el año más atípico en todo este desarrollo; ya que por única vez se presenta un saldo negativo para México, como se analizará más adelante. </w:t>
      </w:r>
      <w:r w:rsidRPr="00BC733E">
        <w:rPr>
          <w:rFonts w:ascii="Times New Roman" w:hAnsi="Times New Roman" w:cs="Times New Roman"/>
          <w:bCs/>
          <w:sz w:val="24"/>
          <w:szCs w:val="24"/>
        </w:rPr>
        <w:t xml:space="preserve">En 2013, por el contrario, hay un ingreso extraordinario de divisas por IED debido a que es vendido </w:t>
      </w:r>
      <w:r w:rsidRPr="00BC733E">
        <w:rPr>
          <w:rFonts w:ascii="Times New Roman" w:hAnsi="Times New Roman" w:cs="Times New Roman"/>
          <w:bCs/>
          <w:sz w:val="24"/>
          <w:szCs w:val="24"/>
          <w:lang w:val="es-ES"/>
        </w:rPr>
        <w:t>el Grupo Modelo por 13.3 mmd, al grupo AVInveb</w:t>
      </w:r>
      <w:r w:rsidR="005049CD">
        <w:rPr>
          <w:rFonts w:ascii="Times New Roman" w:hAnsi="Times New Roman" w:cs="Times New Roman"/>
          <w:bCs/>
          <w:sz w:val="24"/>
          <w:szCs w:val="24"/>
          <w:lang w:val="es-ES"/>
        </w:rPr>
        <w:t xml:space="preserve"> (Jardón, 2014)</w:t>
      </w:r>
      <w:r w:rsidRPr="00BC733E">
        <w:rPr>
          <w:rFonts w:ascii="Times New Roman" w:hAnsi="Times New Roman" w:cs="Times New Roman"/>
          <w:bCs/>
          <w:sz w:val="24"/>
          <w:szCs w:val="24"/>
          <w:lang w:val="es-ES"/>
        </w:rPr>
        <w:t>. El promedio anual de la IED, descontando esos dos movimientos atípicos, se ubica un poco arriba de los 17.6 mmd anuales.</w:t>
      </w:r>
      <w:r w:rsidR="005049CD">
        <w:rPr>
          <w:rFonts w:ascii="Times New Roman" w:hAnsi="Times New Roman" w:cs="Times New Roman"/>
          <w:bCs/>
          <w:sz w:val="24"/>
          <w:szCs w:val="24"/>
          <w:lang w:val="es-ES"/>
        </w:rPr>
        <w:t xml:space="preserve"> </w:t>
      </w:r>
      <w:r w:rsidRPr="00BC733E">
        <w:rPr>
          <w:rFonts w:ascii="Times New Roman" w:hAnsi="Times New Roman" w:cs="Times New Roman"/>
          <w:bCs/>
          <w:sz w:val="24"/>
          <w:szCs w:val="24"/>
          <w:lang w:val="es-ES"/>
        </w:rPr>
        <w:t xml:space="preserve">Como complemento contextual, debe señalarse que en 2012, </w:t>
      </w:r>
      <w:r w:rsidR="005049CD">
        <w:rPr>
          <w:rFonts w:ascii="Times New Roman" w:hAnsi="Times New Roman" w:cs="Times New Roman"/>
          <w:bCs/>
          <w:sz w:val="24"/>
          <w:szCs w:val="24"/>
          <w:lang w:val="es-ES"/>
        </w:rPr>
        <w:t xml:space="preserve">(Ibid.) </w:t>
      </w:r>
      <w:r w:rsidRPr="00BC733E">
        <w:rPr>
          <w:rFonts w:ascii="Times New Roman" w:hAnsi="Times New Roman" w:cs="Times New Roman"/>
          <w:bCs/>
          <w:i/>
          <w:sz w:val="24"/>
          <w:szCs w:val="24"/>
        </w:rPr>
        <w:t>México recibió inversiones de cartera por 80,230 millones de dólares, un monto sin precedente, y con esto se convirtió en la principal fuente de divisas para el país.</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bCs/>
          <w:sz w:val="24"/>
          <w:szCs w:val="24"/>
          <w:lang w:val="es-ES"/>
        </w:rPr>
        <w:tab/>
      </w:r>
      <w:r w:rsidRPr="00BC733E">
        <w:rPr>
          <w:rFonts w:ascii="Times New Roman" w:hAnsi="Times New Roman" w:cs="Times New Roman"/>
          <w:sz w:val="24"/>
          <w:szCs w:val="24"/>
        </w:rPr>
        <w:t xml:space="preserve">Los problemas principales en relación a los movimientos de inversión de capital para la captación de divisas para la economía mexicana no provienen, entonces, de una disminución significativa de la IED, sino que su origen se puede encontrar en la aparición </w:t>
      </w:r>
      <w:r w:rsidRPr="00BC733E">
        <w:rPr>
          <w:rFonts w:ascii="Times New Roman" w:hAnsi="Times New Roman" w:cs="Times New Roman"/>
          <w:sz w:val="24"/>
          <w:szCs w:val="24"/>
        </w:rPr>
        <w:lastRenderedPageBreak/>
        <w:t>de un fenómeno relativamente novedoso en el comportamiento de los grandes empresarios que operan en México y que consiste en la tendencia cada vez más pronunciada a realizar inversiones directas de capital en otros países.</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Cuando se inicia la información sobre la IME</w:t>
      </w:r>
      <w:r w:rsidR="009A6D50">
        <w:rPr>
          <w:rFonts w:ascii="Times New Roman" w:hAnsi="Times New Roman" w:cs="Times New Roman"/>
          <w:sz w:val="24"/>
          <w:szCs w:val="24"/>
        </w:rPr>
        <w:t xml:space="preserve"> (Gráfica # 1)</w:t>
      </w:r>
      <w:r w:rsidRPr="00BC733E">
        <w:rPr>
          <w:rFonts w:ascii="Times New Roman" w:hAnsi="Times New Roman" w:cs="Times New Roman"/>
          <w:sz w:val="24"/>
          <w:szCs w:val="24"/>
        </w:rPr>
        <w:t xml:space="preserve">, en 2001, ésta es considerablemente baja en relación a la IED y así se mantiene hasta 2006, con dos años excepcionalmente bajos, que son 2002 (0.89 mmd) y 2003 (1.25 mmd) y con un promedio anual entre 2001 y 2006 de 3.9 mmd, frente a uno de 23.7 mmd de IED en el mismo periodo. Como consecuencia, el objetivo buscado se estaba cumpliendo satisfactoriamente, al arrojar la cuenta de estas inversiones un saldo positivo importante, si bien con altibajos. El promedio de este saldo para estos seis años fue de casi 20 mmd, aun cuando se presenta en 2001, como ya se ha dicho, una gran operación de compra que no implicó la inyección de nuevo capital en el sector bancario mexicano, sino la compra a través de la BV de Banamex por City Group. </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Los dos siguientes años, 2007 y 2008, los del estallamiento de la crisis, son excepcionalmente buenos para la captación de IED: 31.4</w:t>
      </w:r>
      <w:r w:rsidRPr="00BC733E">
        <w:rPr>
          <w:rFonts w:ascii="Times New Roman" w:hAnsi="Times New Roman" w:cs="Times New Roman"/>
          <w:b/>
          <w:sz w:val="24"/>
          <w:szCs w:val="24"/>
        </w:rPr>
        <w:t xml:space="preserve"> </w:t>
      </w:r>
      <w:r w:rsidRPr="00BC733E">
        <w:rPr>
          <w:rFonts w:ascii="Times New Roman" w:hAnsi="Times New Roman" w:cs="Times New Roman"/>
          <w:sz w:val="24"/>
          <w:szCs w:val="24"/>
        </w:rPr>
        <w:t>mmd, record histórico,  y 28 mmd, respectivamente, y para el saldo de esta balanza, que asciende a 23 mmd en 2007 y que llega a una cima histórica de 26.7 mmd en 2008. Sin embargo, debe destacarse que, si bien la IME fue de 1.16 mmd en 2008, cifra inusualmente baja conforme a la tendencia de los últimos años, en 2007 está se había incrementado a un máximo histórico de 8.26 mmd, que se asimila a la nueva tendencia que va a prevalecer al menos hasta 2013.</w:t>
      </w:r>
    </w:p>
    <w:p w:rsidR="00A14659"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 xml:space="preserve">En efecto, a lo largo de los años en los que los efectos de la crisis económica y la recesión se manifiestan con mayor claridad, el crecimiento de la IME es evidente y lleva este indicador a cifras nunca antes alcanzadas. Ya los 7.7 mmd de 2009 resultaban elevados frente a la tendencia anterior, pero los 15 mmd de 2010 y los 12.12 mmd de 2011, marcan un claro punto de ruptura con las prácticas de inversión en el extranjero de las empresas que operan en México. </w:t>
      </w:r>
    </w:p>
    <w:p w:rsidR="00BC733E" w:rsidRPr="00BC733E" w:rsidRDefault="00A14659"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733E" w:rsidRPr="00BC733E">
        <w:rPr>
          <w:rFonts w:ascii="Times New Roman" w:hAnsi="Times New Roman" w:cs="Times New Roman"/>
          <w:sz w:val="24"/>
          <w:szCs w:val="24"/>
        </w:rPr>
        <w:t>Pero el año que rompe con todas las tendencias previas es 2012, cuando se combina la salida del 25% del capital de Banca Santander (4.1 mmd) con una entrada particularmente baja de nuevas inversiones extranjeras (sólo 13.4 mmd) y una actividad exportadora de capitales sumamente intensa de grupos como America Movil, Bimbo, Cemex, Elektra y Gruma (</w:t>
      </w:r>
      <w:r w:rsidR="00BC733E" w:rsidRPr="00BC733E">
        <w:rPr>
          <w:rFonts w:ascii="Times New Roman" w:hAnsi="Times New Roman" w:cs="Times New Roman"/>
          <w:bCs/>
          <w:sz w:val="24"/>
          <w:szCs w:val="24"/>
          <w:lang w:val="es-ES"/>
        </w:rPr>
        <w:t>Jardón,</w:t>
      </w:r>
      <w:r w:rsidR="007B73D0">
        <w:rPr>
          <w:rFonts w:ascii="Times New Roman" w:hAnsi="Times New Roman" w:cs="Times New Roman"/>
          <w:bCs/>
          <w:sz w:val="24"/>
          <w:szCs w:val="24"/>
          <w:lang w:val="es-ES"/>
        </w:rPr>
        <w:t xml:space="preserve"> 2014</w:t>
      </w:r>
      <w:r w:rsidR="00BC733E" w:rsidRPr="00BC733E">
        <w:rPr>
          <w:rFonts w:ascii="Times New Roman" w:hAnsi="Times New Roman" w:cs="Times New Roman"/>
          <w:bCs/>
          <w:sz w:val="24"/>
          <w:szCs w:val="24"/>
          <w:lang w:val="es-ES"/>
        </w:rPr>
        <w:t>)</w:t>
      </w:r>
      <w:r w:rsidR="00BC733E" w:rsidRPr="00BC733E">
        <w:rPr>
          <w:rFonts w:ascii="Times New Roman" w:hAnsi="Times New Roman" w:cs="Times New Roman"/>
          <w:sz w:val="24"/>
          <w:szCs w:val="24"/>
        </w:rPr>
        <w:t xml:space="preserve">. En suma, salen del país como IME 26.6 mmd y el </w:t>
      </w:r>
      <w:r w:rsidR="00BC733E" w:rsidRPr="00BC733E">
        <w:rPr>
          <w:rFonts w:ascii="Times New Roman" w:hAnsi="Times New Roman" w:cs="Times New Roman"/>
          <w:sz w:val="24"/>
          <w:szCs w:val="24"/>
        </w:rPr>
        <w:lastRenderedPageBreak/>
        <w:t>saldo de la inversión es por primera vez negativo para México, en un  monto de 12.2 mmd; después de que en los tres años anteriores este saldo había sido positivo, pero de sólo 8.2 mmd en promedio anual. Sumamente bajo frente al promedio de los dos años anteriores, de 25 mmd. Si bien el saldo se recupera en 2013 (25 mmd) como efecto de la ya mencionada venta del Grupo modelo (13.3 mmd), su futuro parece incierto; pero algo parece claro: los inversionistas mexicanos han tomado la decisión de abandonar México en una medida considerable cuando la economía del país se ve enfrentada a problemas serios.</w:t>
      </w:r>
    </w:p>
    <w:p w:rsidR="00BC733E" w:rsidRPr="00BC733E" w:rsidRDefault="00BC733E" w:rsidP="00642948">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 xml:space="preserve">¿Qué indica este viraje? Muy claramente, que los empresarios que operan en México, como todo empresario, ponen por delante de cualquier consideración la rentabilidad de su inversión y, por tanto, en momentos de crisis, retiran de los espacios riesgosos su capital para llevarlo a terrenos más promisorios. Esa es su lógica y no se le puede reprochar a quien actúa así falta de patriotismo o de solidaridad social, que no son atributos del capital. </w:t>
      </w:r>
    </w:p>
    <w:p w:rsidR="003A64EB" w:rsidRDefault="00BC733E" w:rsidP="004E4F09">
      <w:pPr>
        <w:spacing w:after="0" w:line="360" w:lineRule="auto"/>
        <w:jc w:val="both"/>
        <w:rPr>
          <w:rFonts w:ascii="Times New Roman" w:hAnsi="Times New Roman" w:cs="Times New Roman"/>
          <w:sz w:val="24"/>
          <w:szCs w:val="24"/>
        </w:rPr>
      </w:pPr>
      <w:r w:rsidRPr="00BC733E">
        <w:rPr>
          <w:rFonts w:ascii="Times New Roman" w:hAnsi="Times New Roman" w:cs="Times New Roman"/>
          <w:sz w:val="24"/>
          <w:szCs w:val="24"/>
        </w:rPr>
        <w:tab/>
        <w:t xml:space="preserve">El problema radica en otro lado, en la falta de regulación que de manera creciente acompaña en la actualidad a los flujos financieros, como característica del modelo neoliberal. </w:t>
      </w:r>
      <w:r w:rsidRPr="00C01E4F">
        <w:rPr>
          <w:rFonts w:ascii="Times New Roman" w:hAnsi="Times New Roman" w:cs="Times New Roman"/>
          <w:sz w:val="24"/>
          <w:szCs w:val="24"/>
        </w:rPr>
        <w:t xml:space="preserve">En esa </w:t>
      </w:r>
      <w:r w:rsidRPr="00C01E4F">
        <w:rPr>
          <w:rFonts w:ascii="Times New Roman" w:hAnsi="Times New Roman" w:cs="Times New Roman"/>
          <w:i/>
          <w:sz w:val="24"/>
          <w:szCs w:val="24"/>
        </w:rPr>
        <w:t>desdemocratización</w:t>
      </w:r>
      <w:r w:rsidRPr="00C01E4F">
        <w:rPr>
          <w:rFonts w:ascii="Times New Roman" w:hAnsi="Times New Roman" w:cs="Times New Roman"/>
          <w:sz w:val="24"/>
          <w:szCs w:val="24"/>
        </w:rPr>
        <w:t xml:space="preserve"> (De Castro y Pedreño, 2013) de la vida social que de manera pendular el poder político impone para desmantelar las prácticas y las instituciones que la sociedad puede haber ido creando de manera acumulativa como protección frente a la acción siempre violenta de las fuerzas del mercado dejadas a su libre desempeño.</w:t>
      </w:r>
      <w:r w:rsidRPr="00BC733E">
        <w:rPr>
          <w:rFonts w:ascii="Times New Roman" w:hAnsi="Times New Roman" w:cs="Times New Roman"/>
          <w:sz w:val="24"/>
          <w:szCs w:val="24"/>
        </w:rPr>
        <w:t xml:space="preserve"> Porque el éxito empresarial que permite la acumulación de las grandes fortunas de los consorcios en México, no resulta solamente -y muchas veces, no principalmente- de la atinada gestión y de una notable capacidad empresarial, sino que en muy buena medida se deriva de la protección estatal selectiva a los grandes intereses económicos de la industria, el comercio, los servicios y sobre todo el mundo de </w:t>
      </w:r>
      <w:r w:rsidR="00AC5282">
        <w:rPr>
          <w:rFonts w:ascii="Times New Roman" w:hAnsi="Times New Roman" w:cs="Times New Roman"/>
          <w:sz w:val="24"/>
          <w:szCs w:val="24"/>
        </w:rPr>
        <w:t>las finanzas</w:t>
      </w:r>
      <w:r w:rsidRPr="00BC733E">
        <w:rPr>
          <w:rFonts w:ascii="Times New Roman" w:hAnsi="Times New Roman" w:cs="Times New Roman"/>
          <w:sz w:val="24"/>
          <w:szCs w:val="24"/>
        </w:rPr>
        <w:t xml:space="preserve">. </w:t>
      </w:r>
    </w:p>
    <w:p w:rsidR="00BC733E" w:rsidRDefault="004E4F09" w:rsidP="0064294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BC733E" w:rsidRPr="00BC733E">
        <w:rPr>
          <w:rFonts w:ascii="Times New Roman" w:hAnsi="Times New Roman" w:cs="Times New Roman"/>
          <w:sz w:val="24"/>
          <w:szCs w:val="24"/>
        </w:rPr>
        <w:t>De tal manera que la exportación de los capitales en forma de IME es en gran medida financiada o, mejor dicho, subsidiada, por el conjunto de la población, a través de su trabajo, su consumo y del pago de sus impuestos; porque la actividad de los empresarios privados es subsidiada de múltiples formas por el poder público y sus elevadas ganancias provienen en gran parte de estos apoyos formales e informales del Estado. Entre los más importantes deben destacarse:  un sistema tributario regresivo desde una perspectiva de la relación capital-trabajo</w:t>
      </w:r>
      <w:r w:rsidR="00060BB4">
        <w:rPr>
          <w:rFonts w:ascii="Times New Roman" w:hAnsi="Times New Roman" w:cs="Times New Roman"/>
          <w:sz w:val="24"/>
          <w:szCs w:val="24"/>
        </w:rPr>
        <w:t xml:space="preserve"> (Di Constanzo, 2011)</w:t>
      </w:r>
      <w:r w:rsidR="00BC733E" w:rsidRPr="00BC733E">
        <w:rPr>
          <w:rFonts w:ascii="Times New Roman" w:hAnsi="Times New Roman" w:cs="Times New Roman"/>
          <w:sz w:val="24"/>
          <w:szCs w:val="24"/>
        </w:rPr>
        <w:t xml:space="preserve">; estímulos a la actividad </w:t>
      </w:r>
      <w:r w:rsidR="00BC733E" w:rsidRPr="00BC733E">
        <w:rPr>
          <w:rFonts w:ascii="Times New Roman" w:hAnsi="Times New Roman" w:cs="Times New Roman"/>
          <w:i/>
          <w:sz w:val="24"/>
          <w:szCs w:val="24"/>
        </w:rPr>
        <w:t>caritativa</w:t>
      </w:r>
      <w:r w:rsidR="00BC733E" w:rsidRPr="00BC733E">
        <w:rPr>
          <w:rFonts w:ascii="Times New Roman" w:hAnsi="Times New Roman" w:cs="Times New Roman"/>
          <w:sz w:val="24"/>
          <w:szCs w:val="24"/>
        </w:rPr>
        <w:t xml:space="preserve"> de los </w:t>
      </w:r>
      <w:r w:rsidR="00BC733E" w:rsidRPr="00BC733E">
        <w:rPr>
          <w:rFonts w:ascii="Times New Roman" w:hAnsi="Times New Roman" w:cs="Times New Roman"/>
          <w:sz w:val="24"/>
          <w:szCs w:val="24"/>
        </w:rPr>
        <w:lastRenderedPageBreak/>
        <w:t>empresarios, como sustituto de la política social; tarifas preferenciales; contratismo; rescates y saneamientos de empresas en problemas que después se reprivatizan</w:t>
      </w:r>
      <w:r w:rsidR="00A14659">
        <w:rPr>
          <w:rFonts w:ascii="Times New Roman" w:hAnsi="Times New Roman" w:cs="Times New Roman"/>
          <w:sz w:val="24"/>
          <w:szCs w:val="24"/>
        </w:rPr>
        <w:t xml:space="preserve"> saneadas</w:t>
      </w:r>
      <w:r w:rsidR="00BC733E" w:rsidRPr="00BC733E">
        <w:rPr>
          <w:rFonts w:ascii="Times New Roman" w:hAnsi="Times New Roman" w:cs="Times New Roman"/>
          <w:sz w:val="24"/>
          <w:szCs w:val="24"/>
        </w:rPr>
        <w:t xml:space="preserve">; tolerancia y protección a las estructuras monopólica, duopólicas y oligopólicas; y, de central importancia, férreos controles salariales y sindicales. </w:t>
      </w:r>
    </w:p>
    <w:p w:rsidR="00BC733E" w:rsidRPr="00BC733E" w:rsidRDefault="004E4F09"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C733E">
        <w:rPr>
          <w:rFonts w:ascii="Times New Roman" w:hAnsi="Times New Roman" w:cs="Times New Roman"/>
          <w:sz w:val="24"/>
          <w:szCs w:val="24"/>
        </w:rPr>
        <w:t xml:space="preserve">Eso es, en síntesis, lo que bien puede denominarse como el </w:t>
      </w:r>
      <w:r w:rsidRPr="00BC733E">
        <w:rPr>
          <w:rFonts w:ascii="Times New Roman" w:hAnsi="Times New Roman" w:cs="Times New Roman"/>
          <w:i/>
          <w:sz w:val="24"/>
          <w:szCs w:val="24"/>
        </w:rPr>
        <w:t>costo social del éxito empresarial</w:t>
      </w:r>
      <w:r w:rsidRPr="00BC733E">
        <w:rPr>
          <w:rFonts w:ascii="Times New Roman" w:hAnsi="Times New Roman" w:cs="Times New Roman"/>
          <w:sz w:val="24"/>
          <w:szCs w:val="24"/>
        </w:rPr>
        <w:t xml:space="preserve"> en México y que permite explicar la fuerte capacidad exportadora de capitales productivos hacia diversos países.</w:t>
      </w:r>
      <w:r>
        <w:rPr>
          <w:rFonts w:ascii="Times New Roman" w:hAnsi="Times New Roman" w:cs="Times New Roman"/>
          <w:sz w:val="24"/>
          <w:szCs w:val="24"/>
        </w:rPr>
        <w:t xml:space="preserve"> </w:t>
      </w:r>
      <w:r w:rsidR="00BC733E" w:rsidRPr="00BC733E">
        <w:rPr>
          <w:rFonts w:ascii="Times New Roman" w:hAnsi="Times New Roman" w:cs="Times New Roman"/>
          <w:sz w:val="24"/>
          <w:szCs w:val="24"/>
        </w:rPr>
        <w:t xml:space="preserve">¿Llegarán en el nuevo periodo que abren las nuevas reformas estructurales los capitales masivos que se buscó atraer con su instrumentación al margen de la población mexicana? Es pronto para saberlo. En todo caso, no parece lógico suponer que la IED dejará de ser la fuente más inestable de generación de divisas, tal y como lo ha sido en los veinte años del TLCAN. Pero, por otro lado, tampoco parece haber signos que hagan prever un cambio en los patrones exportadores de capital e importadores de mercancías de los propietarios de los grandes capitales monopólicos, duopólicos y oligopólicos altamente protegidos que dominan la economía mexicana. </w:t>
      </w:r>
    </w:p>
    <w:p w:rsidR="0026493B" w:rsidRDefault="0026493B" w:rsidP="00642948">
      <w:pPr>
        <w:tabs>
          <w:tab w:val="left" w:pos="1064"/>
        </w:tabs>
        <w:spacing w:after="0" w:line="360" w:lineRule="auto"/>
        <w:jc w:val="both"/>
        <w:rPr>
          <w:rFonts w:ascii="Times New Roman" w:hAnsi="Times New Roman" w:cs="Times New Roman"/>
          <w:sz w:val="24"/>
          <w:szCs w:val="24"/>
        </w:rPr>
      </w:pPr>
    </w:p>
    <w:p w:rsidR="001C3738" w:rsidRDefault="001C3738" w:rsidP="00B444E2">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sidR="00B444E2">
        <w:rPr>
          <w:rFonts w:ascii="Times New Roman" w:hAnsi="Times New Roman" w:cs="Times New Roman"/>
          <w:sz w:val="24"/>
          <w:szCs w:val="24"/>
        </w:rPr>
        <w:t xml:space="preserve"> VIAJAR AL MÉXICO VIOLENTO, VIAJAR DESDE EL MÉXICO OPULENTO</w:t>
      </w:r>
    </w:p>
    <w:p w:rsidR="001C3738" w:rsidRDefault="001C3738" w:rsidP="00642948">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Una</w:t>
      </w:r>
      <w:r w:rsidRPr="004E3FDD">
        <w:rPr>
          <w:rFonts w:ascii="Times New Roman" w:hAnsi="Times New Roman" w:cs="Times New Roman"/>
          <w:sz w:val="24"/>
          <w:szCs w:val="24"/>
        </w:rPr>
        <w:t xml:space="preserve"> </w:t>
      </w:r>
      <w:r>
        <w:rPr>
          <w:rFonts w:ascii="Times New Roman" w:hAnsi="Times New Roman" w:cs="Times New Roman"/>
          <w:sz w:val="24"/>
          <w:szCs w:val="24"/>
        </w:rPr>
        <w:t>segunda</w:t>
      </w:r>
      <w:r w:rsidRPr="004E3FDD">
        <w:rPr>
          <w:rFonts w:ascii="Times New Roman" w:hAnsi="Times New Roman" w:cs="Times New Roman"/>
          <w:sz w:val="24"/>
          <w:szCs w:val="24"/>
        </w:rPr>
        <w:t xml:space="preserve"> fuente tradicional de divisas en México, el turismo, en los años del TLCAN no ha tenido el dinamismo </w:t>
      </w:r>
      <w:r>
        <w:rPr>
          <w:rFonts w:ascii="Times New Roman" w:hAnsi="Times New Roman" w:cs="Times New Roman"/>
          <w:sz w:val="24"/>
          <w:szCs w:val="24"/>
        </w:rPr>
        <w:t xml:space="preserve">que los promotores de la apertura económica hubieran esperado. A partir de 1994, </w:t>
      </w:r>
      <w:r w:rsidRPr="004E3FDD">
        <w:rPr>
          <w:rFonts w:ascii="Times New Roman" w:hAnsi="Times New Roman" w:cs="Times New Roman"/>
          <w:sz w:val="24"/>
          <w:szCs w:val="24"/>
        </w:rPr>
        <w:t xml:space="preserve">el saldo </w:t>
      </w:r>
      <w:r>
        <w:rPr>
          <w:rFonts w:ascii="Times New Roman" w:hAnsi="Times New Roman" w:cs="Times New Roman"/>
          <w:sz w:val="24"/>
          <w:szCs w:val="24"/>
        </w:rPr>
        <w:t>positivo crece muy moderadamente y desde 2005 la situación bien puede definirse como de estancamiento</w:t>
      </w:r>
      <w:r>
        <w:rPr>
          <w:rStyle w:val="Refdenotaalpie"/>
          <w:rFonts w:ascii="Times New Roman" w:hAnsi="Times New Roman" w:cs="Times New Roman"/>
          <w:sz w:val="24"/>
          <w:szCs w:val="24"/>
        </w:rPr>
        <w:footnoteReference w:id="12"/>
      </w:r>
      <w:r>
        <w:rPr>
          <w:rFonts w:ascii="Times New Roman" w:hAnsi="Times New Roman" w:cs="Times New Roman"/>
          <w:sz w:val="24"/>
          <w:szCs w:val="24"/>
        </w:rPr>
        <w:t xml:space="preserve"> (</w:t>
      </w:r>
      <w:r w:rsidR="007B73D0">
        <w:rPr>
          <w:rFonts w:ascii="Times New Roman" w:hAnsi="Times New Roman" w:cs="Times New Roman"/>
          <w:sz w:val="24"/>
          <w:szCs w:val="24"/>
        </w:rPr>
        <w:t>Gráfica # 2</w:t>
      </w:r>
      <w:r>
        <w:rPr>
          <w:rFonts w:ascii="Times New Roman" w:hAnsi="Times New Roman" w:cs="Times New Roman"/>
          <w:sz w:val="24"/>
          <w:szCs w:val="24"/>
        </w:rPr>
        <w:t xml:space="preserve">). Ello no es debido a que deje de crecer el gasto de los turistas extranjeros en el país (GEM). De hecho, éste aumenta consistentemente, si bien con algunos altibajos, desde 1994 hasta 2008, cuando pasa de 6.4 mmd a 13.4 mmd. Sin embargo, durante esos años el gasto de los turistas mexicanos en el exterior (GME) tampoco deja de crecer constantemente. Dejando a un lado el año atípico de 1994, cuando asciende a 5.4 mmd, posiblemente impulsado por la fuerte sobrevaluación del peso que se haría evidente en diciembre de ese mismo año (Guillén Romo, 1997), entre 1995 y 2008 pasa de 3.2 mmd a 8.6 mmd. Lo anterior explica que el saldo positivo de la balanza turística mexicana, se mantenga oscilando dentro de una banda más bien estrecha, </w:t>
      </w:r>
      <w:r>
        <w:rPr>
          <w:rFonts w:ascii="Times New Roman" w:hAnsi="Times New Roman" w:cs="Times New Roman"/>
          <w:sz w:val="24"/>
          <w:szCs w:val="24"/>
        </w:rPr>
        <w:lastRenderedPageBreak/>
        <w:t>en comparación al comportamiento tanto del  GEM como del GME, que va de los 3 mmd a los 4.8 mmd.</w:t>
      </w:r>
    </w:p>
    <w:p w:rsidR="00376467" w:rsidRDefault="00376467" w:rsidP="00642948">
      <w:pPr>
        <w:tabs>
          <w:tab w:val="left" w:pos="1064"/>
        </w:tabs>
        <w:spacing w:after="0" w:line="360" w:lineRule="auto"/>
        <w:jc w:val="both"/>
        <w:rPr>
          <w:rFonts w:ascii="Times New Roman" w:hAnsi="Times New Roman" w:cs="Times New Roman"/>
          <w:sz w:val="24"/>
          <w:szCs w:val="24"/>
        </w:rPr>
      </w:pPr>
    </w:p>
    <w:tbl>
      <w:tblPr>
        <w:tblStyle w:val="Tablaconcuadrcula"/>
        <w:tblW w:w="0" w:type="auto"/>
        <w:tblLook w:val="04A0"/>
      </w:tblPr>
      <w:tblGrid>
        <w:gridCol w:w="9054"/>
      </w:tblGrid>
      <w:tr w:rsidR="00376467" w:rsidTr="00376467">
        <w:tc>
          <w:tcPr>
            <w:tcW w:w="9054" w:type="dxa"/>
          </w:tcPr>
          <w:p w:rsidR="00376467" w:rsidRDefault="00376467" w:rsidP="0055468D">
            <w:pPr>
              <w:jc w:val="center"/>
              <w:rPr>
                <w:rFonts w:ascii="Times New Roman" w:hAnsi="Times New Roman" w:cs="Times New Roman"/>
                <w:sz w:val="24"/>
                <w:szCs w:val="24"/>
              </w:rPr>
            </w:pPr>
            <w:r>
              <w:rPr>
                <w:rFonts w:ascii="Times New Roman" w:hAnsi="Times New Roman" w:cs="Times New Roman"/>
                <w:sz w:val="24"/>
                <w:szCs w:val="24"/>
              </w:rPr>
              <w:t>GRÁFICA # 2</w:t>
            </w:r>
          </w:p>
          <w:p w:rsidR="00376467" w:rsidRDefault="00376467" w:rsidP="0055468D">
            <w:pPr>
              <w:jc w:val="center"/>
              <w:rPr>
                <w:rFonts w:ascii="Times New Roman" w:hAnsi="Times New Roman" w:cs="Times New Roman"/>
                <w:sz w:val="24"/>
                <w:szCs w:val="24"/>
              </w:rPr>
            </w:pPr>
            <w:r>
              <w:rPr>
                <w:rFonts w:ascii="Times New Roman" w:hAnsi="Times New Roman" w:cs="Times New Roman"/>
                <w:sz w:val="24"/>
                <w:szCs w:val="24"/>
              </w:rPr>
              <w:t>MÉXICO: GEM, GME Y SALDO DE LA BALANZA TURÍSTICA, 1994-2013 (mmd)</w:t>
            </w:r>
          </w:p>
        </w:tc>
      </w:tr>
    </w:tbl>
    <w:p w:rsidR="00376467" w:rsidRDefault="00376467" w:rsidP="00642948">
      <w:pPr>
        <w:tabs>
          <w:tab w:val="left" w:pos="1064"/>
        </w:tabs>
        <w:spacing w:after="0" w:line="360" w:lineRule="auto"/>
        <w:jc w:val="both"/>
        <w:rPr>
          <w:rFonts w:ascii="Times New Roman" w:hAnsi="Times New Roman" w:cs="Times New Roman"/>
          <w:sz w:val="24"/>
          <w:szCs w:val="24"/>
        </w:rPr>
      </w:pPr>
      <w:r w:rsidRPr="00376467">
        <w:rPr>
          <w:rFonts w:ascii="Times New Roman" w:hAnsi="Times New Roman" w:cs="Times New Roman"/>
          <w:noProof/>
          <w:sz w:val="24"/>
          <w:szCs w:val="24"/>
          <w:lang w:eastAsia="es-MX"/>
        </w:rPr>
        <w:drawing>
          <wp:inline distT="0" distB="0" distL="0" distR="0">
            <wp:extent cx="5612130" cy="2440338"/>
            <wp:effectExtent l="19050" t="0" r="2667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aconcuadrcula"/>
        <w:tblW w:w="14142" w:type="dxa"/>
        <w:tblLook w:val="04A0"/>
      </w:tblPr>
      <w:tblGrid>
        <w:gridCol w:w="14142"/>
      </w:tblGrid>
      <w:tr w:rsidR="00376467" w:rsidTr="0055468D">
        <w:tc>
          <w:tcPr>
            <w:tcW w:w="14142" w:type="dxa"/>
          </w:tcPr>
          <w:p w:rsidR="00376467" w:rsidRPr="00CF4728" w:rsidRDefault="00376467" w:rsidP="0055468D">
            <w:pPr>
              <w:pStyle w:val="Textonotapie"/>
              <w:rPr>
                <w:rFonts w:ascii="Times New Roman" w:hAnsi="Times New Roman" w:cs="Times New Roman"/>
              </w:rPr>
            </w:pPr>
            <w:r w:rsidRPr="00CF4728">
              <w:rPr>
                <w:rFonts w:ascii="Times New Roman" w:hAnsi="Times New Roman" w:cs="Times New Roman"/>
              </w:rPr>
              <w:t xml:space="preserve">Fuente: Elaboración propia con datos de: Banco de México: </w:t>
            </w:r>
            <w:hyperlink r:id="rId9" w:history="1">
              <w:r w:rsidRPr="00CF4728">
                <w:rPr>
                  <w:rStyle w:val="Hipervnculo"/>
                  <w:rFonts w:ascii="Times New Roman" w:hAnsi="Times New Roman" w:cs="Times New Roman"/>
                </w:rPr>
                <w:t>http://www.banxico.org.mx/SieInternet/consultarDirectorioInternetAction.do?accion=consultarCuadroAnalitico&amp;idCuadro=CA199&amp;sector=1&amp;locale=es</w:t>
              </w:r>
            </w:hyperlink>
            <w:r w:rsidRPr="00CF4728">
              <w:rPr>
                <w:rFonts w:ascii="Times New Roman" w:hAnsi="Times New Roman" w:cs="Times New Roman"/>
              </w:rPr>
              <w:t xml:space="preserve"> (última consulta: 14/11/2014).</w:t>
            </w:r>
          </w:p>
        </w:tc>
      </w:tr>
    </w:tbl>
    <w:p w:rsidR="006F2DC5" w:rsidRPr="006F2DC5" w:rsidRDefault="006F2DC5" w:rsidP="00642948">
      <w:pPr>
        <w:tabs>
          <w:tab w:val="left" w:pos="1064"/>
        </w:tabs>
        <w:spacing w:after="0" w:line="360" w:lineRule="auto"/>
        <w:jc w:val="both"/>
        <w:rPr>
          <w:rFonts w:ascii="Times New Roman" w:hAnsi="Times New Roman" w:cs="Times New Roman"/>
          <w:color w:val="FF0000"/>
          <w:sz w:val="24"/>
          <w:szCs w:val="24"/>
        </w:rPr>
      </w:pPr>
    </w:p>
    <w:p w:rsidR="001C3738" w:rsidRDefault="001C3738" w:rsidP="00642948">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años que corresponden a la crisis y su</w:t>
      </w:r>
      <w:r w:rsidR="00DF1A3D">
        <w:rPr>
          <w:rFonts w:ascii="Times New Roman" w:hAnsi="Times New Roman" w:cs="Times New Roman"/>
          <w:sz w:val="24"/>
          <w:szCs w:val="24"/>
        </w:rPr>
        <w:t>s</w:t>
      </w:r>
      <w:r>
        <w:rPr>
          <w:rFonts w:ascii="Times New Roman" w:hAnsi="Times New Roman" w:cs="Times New Roman"/>
          <w:sz w:val="24"/>
          <w:szCs w:val="24"/>
        </w:rPr>
        <w:t xml:space="preserve"> efectos más directos, las tendencias no cambian sustancialmente. Entre 2009 y 2012 (Gráfica </w:t>
      </w:r>
      <w:r w:rsidR="00811C3B">
        <w:rPr>
          <w:rFonts w:ascii="Times New Roman" w:hAnsi="Times New Roman" w:cs="Times New Roman"/>
          <w:sz w:val="24"/>
          <w:szCs w:val="24"/>
        </w:rPr>
        <w:t># 3</w:t>
      </w:r>
      <w:r>
        <w:rPr>
          <w:rFonts w:ascii="Times New Roman" w:hAnsi="Times New Roman" w:cs="Times New Roman"/>
          <w:sz w:val="24"/>
          <w:szCs w:val="24"/>
        </w:rPr>
        <w:t>), el GEM presenta un promedio anual de 12 mmd, muy cercanos a los 11.8 mmd de 2005. En tanto, en ese mismo periodo el GME promedia 7.7 mmd por año, sólo un poco arriba de los 7.5 mmd de 2005. El promedio anual del saldo de la balanza, por su parte, se ubica por los 4.3 mmd, casi igual al 4.2 mmd del  mismo 2005. Para 2013, año de las dos décadas de antigüedad del TLCAN y que se ha considerado como de relativa regularización económica postcrisis, aumentan nuevamente en porcentajes similares tanto el GEM (se ubica en 19.9 mmd) como el GME (asciende a 9.1 mmd), para arrojar un saldo de 4.8 mmd. Cantidades las tres muy cercanas a las de 2008.</w:t>
      </w:r>
    </w:p>
    <w:p w:rsidR="001C3738" w:rsidRDefault="001C3738" w:rsidP="00642948">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Aunque puede decirse que esta fuente de divisas se mantiene estable, no puede dejar de señalarse que las expectativas de los gobiernos mexicanos en el periodo han sido mucho más optimistas y se han visto claramente frustradas, pese al considerable gasto de promoción y a las constantes inversiones en infraestructura turística que se han realizado. Como un indicador puede tomarse el presupuesto que anualmente ha sido aprobado por el </w:t>
      </w:r>
      <w:r>
        <w:rPr>
          <w:rFonts w:ascii="Times New Roman" w:hAnsi="Times New Roman" w:cs="Times New Roman"/>
          <w:sz w:val="24"/>
          <w:szCs w:val="24"/>
        </w:rPr>
        <w:lastRenderedPageBreak/>
        <w:t xml:space="preserve">Congreso para el turismo (cuadro # </w:t>
      </w:r>
      <w:r w:rsidR="005823B0">
        <w:rPr>
          <w:rFonts w:ascii="Times New Roman" w:hAnsi="Times New Roman" w:cs="Times New Roman"/>
          <w:sz w:val="24"/>
          <w:szCs w:val="24"/>
        </w:rPr>
        <w:t>2</w:t>
      </w:r>
      <w:r>
        <w:rPr>
          <w:rFonts w:ascii="Times New Roman" w:hAnsi="Times New Roman" w:cs="Times New Roman"/>
          <w:sz w:val="24"/>
          <w:szCs w:val="24"/>
        </w:rPr>
        <w:t xml:space="preserve">). Así se constata que entre 2006 y 2011, éste se multiplica por 3.5 aproximadamente, al pasar de 1.23 miles de millones de pesos (mmp) en el primer año a 4.2 mmp en el segundo. </w:t>
      </w:r>
    </w:p>
    <w:p w:rsidR="001C3738" w:rsidRDefault="001C3738" w:rsidP="00642948">
      <w:pPr>
        <w:tabs>
          <w:tab w:val="left" w:pos="1064"/>
        </w:tabs>
        <w:spacing w:after="0" w:line="360" w:lineRule="auto"/>
        <w:jc w:val="both"/>
        <w:rPr>
          <w:rFonts w:ascii="Times New Roman" w:hAnsi="Times New Roman" w:cs="Times New Roman"/>
          <w:sz w:val="24"/>
          <w:szCs w:val="24"/>
        </w:rPr>
      </w:pPr>
    </w:p>
    <w:p w:rsidR="001C3738" w:rsidRDefault="001C3738" w:rsidP="004F1467">
      <w:pPr>
        <w:tabs>
          <w:tab w:val="left" w:pos="1064"/>
        </w:tabs>
        <w:spacing w:after="0" w:line="240" w:lineRule="auto"/>
        <w:jc w:val="both"/>
        <w:rPr>
          <w:rFonts w:ascii="Times New Roman" w:hAnsi="Times New Roman" w:cs="Times New Roman"/>
          <w:sz w:val="24"/>
          <w:szCs w:val="24"/>
        </w:rPr>
      </w:pPr>
    </w:p>
    <w:tbl>
      <w:tblPr>
        <w:tblStyle w:val="Tablaconcuadrcula"/>
        <w:tblpPr w:leftFromText="141" w:rightFromText="141" w:vertAnchor="text" w:horzAnchor="margin" w:tblpY="-22"/>
        <w:tblW w:w="0" w:type="auto"/>
        <w:tblLook w:val="04A0"/>
      </w:tblPr>
      <w:tblGrid>
        <w:gridCol w:w="1122"/>
        <w:gridCol w:w="1122"/>
        <w:gridCol w:w="1122"/>
        <w:gridCol w:w="1278"/>
        <w:gridCol w:w="1276"/>
        <w:gridCol w:w="1276"/>
        <w:gridCol w:w="1701"/>
      </w:tblGrid>
      <w:tr w:rsidR="001C3738" w:rsidRPr="00FC6A74" w:rsidTr="009371E6">
        <w:tc>
          <w:tcPr>
            <w:tcW w:w="8897" w:type="dxa"/>
            <w:gridSpan w:val="7"/>
          </w:tcPr>
          <w:p w:rsidR="004F1467" w:rsidRPr="00B042FA" w:rsidRDefault="004F1467" w:rsidP="004F1467">
            <w:pPr>
              <w:tabs>
                <w:tab w:val="left" w:pos="1064"/>
              </w:tabs>
              <w:jc w:val="center"/>
              <w:rPr>
                <w:rFonts w:ascii="Times New Roman" w:hAnsi="Times New Roman" w:cs="Times New Roman"/>
                <w:b/>
                <w:sz w:val="24"/>
                <w:szCs w:val="24"/>
              </w:rPr>
            </w:pPr>
            <w:r w:rsidRPr="00B042FA">
              <w:rPr>
                <w:rFonts w:ascii="Times New Roman" w:hAnsi="Times New Roman" w:cs="Times New Roman"/>
                <w:b/>
                <w:sz w:val="24"/>
                <w:szCs w:val="24"/>
              </w:rPr>
              <w:t>Cuadro # 2</w:t>
            </w:r>
          </w:p>
          <w:p w:rsidR="004F1467" w:rsidRPr="00FC6A74" w:rsidRDefault="004F1467" w:rsidP="004F1467">
            <w:pPr>
              <w:tabs>
                <w:tab w:val="left" w:pos="1064"/>
              </w:tabs>
              <w:jc w:val="center"/>
              <w:rPr>
                <w:rFonts w:ascii="Times New Roman" w:hAnsi="Times New Roman" w:cs="Times New Roman"/>
                <w:sz w:val="24"/>
                <w:szCs w:val="24"/>
              </w:rPr>
            </w:pPr>
            <w:r w:rsidRPr="00FC6A74">
              <w:rPr>
                <w:rFonts w:ascii="Times New Roman" w:hAnsi="Times New Roman" w:cs="Times New Roman"/>
                <w:sz w:val="24"/>
                <w:szCs w:val="24"/>
              </w:rPr>
              <w:t>PRESUPUESTO PARA TURISMO APROBADO POR EL CONGRESO</w:t>
            </w:r>
          </w:p>
          <w:p w:rsidR="001C3738" w:rsidRPr="00FC6A74" w:rsidRDefault="004F1467" w:rsidP="004F1467">
            <w:pPr>
              <w:tabs>
                <w:tab w:val="left" w:pos="1064"/>
              </w:tabs>
              <w:spacing w:line="360" w:lineRule="auto"/>
              <w:jc w:val="center"/>
              <w:rPr>
                <w:rFonts w:ascii="Times New Roman" w:hAnsi="Times New Roman" w:cs="Times New Roman"/>
                <w:sz w:val="24"/>
                <w:szCs w:val="24"/>
              </w:rPr>
            </w:pPr>
            <w:r w:rsidRPr="00FC6A74">
              <w:rPr>
                <w:rFonts w:ascii="Times New Roman" w:hAnsi="Times New Roman" w:cs="Times New Roman"/>
                <w:sz w:val="24"/>
                <w:szCs w:val="24"/>
              </w:rPr>
              <w:t>(millones de pesos)</w:t>
            </w:r>
          </w:p>
        </w:tc>
      </w:tr>
      <w:tr w:rsidR="001C3738" w:rsidRPr="00FC6A74" w:rsidTr="009371E6">
        <w:tc>
          <w:tcPr>
            <w:tcW w:w="1122"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p>
        </w:tc>
        <w:tc>
          <w:tcPr>
            <w:tcW w:w="1122"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2006</w:t>
            </w:r>
          </w:p>
        </w:tc>
        <w:tc>
          <w:tcPr>
            <w:tcW w:w="1122"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2007</w:t>
            </w:r>
          </w:p>
        </w:tc>
        <w:tc>
          <w:tcPr>
            <w:tcW w:w="1278"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2008</w:t>
            </w:r>
          </w:p>
        </w:tc>
        <w:tc>
          <w:tcPr>
            <w:tcW w:w="1276"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2009</w:t>
            </w:r>
          </w:p>
        </w:tc>
        <w:tc>
          <w:tcPr>
            <w:tcW w:w="1276"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2010</w:t>
            </w:r>
          </w:p>
        </w:tc>
        <w:tc>
          <w:tcPr>
            <w:tcW w:w="1701"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2011</w:t>
            </w:r>
          </w:p>
        </w:tc>
      </w:tr>
      <w:tr w:rsidR="001C3738" w:rsidRPr="00FC6A74" w:rsidTr="009371E6">
        <w:tc>
          <w:tcPr>
            <w:tcW w:w="1122"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p>
        </w:tc>
        <w:tc>
          <w:tcPr>
            <w:tcW w:w="1122"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1,227.3</w:t>
            </w:r>
          </w:p>
        </w:tc>
        <w:tc>
          <w:tcPr>
            <w:tcW w:w="1122"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1,822.7</w:t>
            </w:r>
          </w:p>
        </w:tc>
        <w:tc>
          <w:tcPr>
            <w:tcW w:w="1278"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3,382.4</w:t>
            </w:r>
          </w:p>
        </w:tc>
        <w:tc>
          <w:tcPr>
            <w:tcW w:w="1276"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4,001.3</w:t>
            </w:r>
          </w:p>
        </w:tc>
        <w:tc>
          <w:tcPr>
            <w:tcW w:w="1276"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3,935.8</w:t>
            </w:r>
          </w:p>
        </w:tc>
        <w:tc>
          <w:tcPr>
            <w:tcW w:w="1701" w:type="dxa"/>
          </w:tcPr>
          <w:p w:rsidR="001C3738" w:rsidRPr="00FC6A74" w:rsidRDefault="001C3738" w:rsidP="00642948">
            <w:pPr>
              <w:tabs>
                <w:tab w:val="left" w:pos="1064"/>
              </w:tabs>
              <w:spacing w:line="360" w:lineRule="auto"/>
              <w:jc w:val="both"/>
              <w:rPr>
                <w:rFonts w:ascii="Times New Roman" w:hAnsi="Times New Roman" w:cs="Times New Roman"/>
                <w:sz w:val="24"/>
                <w:szCs w:val="24"/>
              </w:rPr>
            </w:pPr>
            <w:r w:rsidRPr="00FC6A74">
              <w:rPr>
                <w:rFonts w:ascii="Times New Roman" w:hAnsi="Times New Roman" w:cs="Times New Roman"/>
                <w:sz w:val="24"/>
                <w:szCs w:val="24"/>
              </w:rPr>
              <w:t>4,165.8</w:t>
            </w:r>
          </w:p>
        </w:tc>
      </w:tr>
      <w:tr w:rsidR="001C3738" w:rsidRPr="00FC6A74" w:rsidTr="009371E6">
        <w:tc>
          <w:tcPr>
            <w:tcW w:w="8897" w:type="dxa"/>
            <w:gridSpan w:val="7"/>
          </w:tcPr>
          <w:p w:rsidR="001C3738" w:rsidRPr="00FC6A74" w:rsidRDefault="001C3738" w:rsidP="00417425">
            <w:pPr>
              <w:tabs>
                <w:tab w:val="left" w:pos="1064"/>
              </w:tabs>
              <w:spacing w:line="360" w:lineRule="auto"/>
              <w:jc w:val="both"/>
              <w:rPr>
                <w:rFonts w:ascii="Times New Roman" w:hAnsi="Times New Roman" w:cs="Times New Roman"/>
                <w:sz w:val="20"/>
                <w:szCs w:val="20"/>
              </w:rPr>
            </w:pPr>
            <w:r w:rsidRPr="00FC6A74">
              <w:rPr>
                <w:rFonts w:ascii="Times New Roman" w:hAnsi="Times New Roman" w:cs="Times New Roman"/>
                <w:sz w:val="20"/>
                <w:szCs w:val="20"/>
              </w:rPr>
              <w:t xml:space="preserve">Fuente: </w:t>
            </w:r>
            <w:r w:rsidR="00CD4EAA">
              <w:rPr>
                <w:rFonts w:ascii="Times New Roman" w:hAnsi="Times New Roman" w:cs="Times New Roman"/>
                <w:sz w:val="20"/>
                <w:szCs w:val="20"/>
              </w:rPr>
              <w:t xml:space="preserve">Elaboración propia con datos de: </w:t>
            </w:r>
            <w:r w:rsidRPr="00FC6A74">
              <w:rPr>
                <w:rFonts w:ascii="Times New Roman" w:hAnsi="Times New Roman" w:cs="Times New Roman"/>
                <w:bCs/>
                <w:iCs/>
                <w:sz w:val="20"/>
                <w:szCs w:val="20"/>
              </w:rPr>
              <w:t>López</w:t>
            </w:r>
            <w:r w:rsidR="00417425">
              <w:rPr>
                <w:rFonts w:ascii="Times New Roman" w:hAnsi="Times New Roman" w:cs="Times New Roman"/>
                <w:bCs/>
                <w:iCs/>
                <w:sz w:val="20"/>
                <w:szCs w:val="20"/>
              </w:rPr>
              <w:t xml:space="preserve"> </w:t>
            </w:r>
            <w:r w:rsidRPr="00FC6A74">
              <w:rPr>
                <w:rFonts w:ascii="Times New Roman" w:hAnsi="Times New Roman" w:cs="Times New Roman"/>
                <w:bCs/>
                <w:iCs/>
                <w:sz w:val="20"/>
                <w:szCs w:val="20"/>
              </w:rPr>
              <w:t xml:space="preserve"> y González, 2011</w:t>
            </w:r>
          </w:p>
        </w:tc>
      </w:tr>
    </w:tbl>
    <w:p w:rsidR="001C3738" w:rsidRDefault="001C3738" w:rsidP="00642948">
      <w:pPr>
        <w:tabs>
          <w:tab w:val="left" w:pos="1064"/>
        </w:tabs>
        <w:spacing w:after="0" w:line="360" w:lineRule="auto"/>
        <w:jc w:val="both"/>
        <w:rPr>
          <w:rFonts w:ascii="Times New Roman" w:hAnsi="Times New Roman" w:cs="Times New Roman"/>
          <w:sz w:val="24"/>
          <w:szCs w:val="24"/>
        </w:rPr>
      </w:pPr>
    </w:p>
    <w:p w:rsidR="003F099D" w:rsidRDefault="003F099D" w:rsidP="003F099D">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Además de estos gastos, el gobierno apoya a las grandes empresas turísticas a través de su política fiscal. Como un ejemplo, está el caso del Grupo Posadas, de primera importancia en la ho</w:t>
      </w:r>
      <w:r w:rsidR="008E0199">
        <w:rPr>
          <w:rFonts w:ascii="Times New Roman" w:hAnsi="Times New Roman" w:cs="Times New Roman"/>
          <w:sz w:val="24"/>
          <w:szCs w:val="24"/>
        </w:rPr>
        <w:t>s</w:t>
      </w:r>
      <w:r>
        <w:rPr>
          <w:rFonts w:ascii="Times New Roman" w:hAnsi="Times New Roman" w:cs="Times New Roman"/>
          <w:sz w:val="24"/>
          <w:szCs w:val="24"/>
        </w:rPr>
        <w:t>telería orientada al turismo extranjero</w:t>
      </w:r>
      <w:r w:rsidR="008E4825">
        <w:rPr>
          <w:rFonts w:ascii="Times New Roman" w:hAnsi="Times New Roman" w:cs="Times New Roman"/>
          <w:sz w:val="24"/>
          <w:szCs w:val="24"/>
        </w:rPr>
        <w:t xml:space="preserve"> y la aviación comerial</w:t>
      </w:r>
      <w:r>
        <w:rPr>
          <w:rFonts w:ascii="Times New Roman" w:hAnsi="Times New Roman" w:cs="Times New Roman"/>
          <w:sz w:val="24"/>
          <w:szCs w:val="24"/>
        </w:rPr>
        <w:t xml:space="preserve">, que en 2008 tuvo ventas por $6,904 millones de </w:t>
      </w:r>
      <w:r w:rsidR="00DF1A3D">
        <w:rPr>
          <w:rFonts w:ascii="Times New Roman" w:hAnsi="Times New Roman" w:cs="Times New Roman"/>
          <w:sz w:val="24"/>
          <w:szCs w:val="24"/>
        </w:rPr>
        <w:t>p</w:t>
      </w:r>
      <w:r>
        <w:rPr>
          <w:rFonts w:ascii="Times New Roman" w:hAnsi="Times New Roman" w:cs="Times New Roman"/>
          <w:sz w:val="24"/>
          <w:szCs w:val="24"/>
        </w:rPr>
        <w:t xml:space="preserve">esos, pero su pago de impuestos en relación a sus ventas fue negativo (-1.6%), debido a que pudo diferir un total de 1,216 mp (Mario Di Constanzo, </w:t>
      </w:r>
      <w:r w:rsidR="008E0199">
        <w:rPr>
          <w:rFonts w:ascii="Times New Roman" w:hAnsi="Times New Roman" w:cs="Times New Roman"/>
          <w:sz w:val="24"/>
          <w:szCs w:val="24"/>
        </w:rPr>
        <w:t>2009</w:t>
      </w:r>
      <w:r>
        <w:rPr>
          <w:rFonts w:ascii="Times New Roman" w:hAnsi="Times New Roman" w:cs="Times New Roman"/>
          <w:sz w:val="24"/>
          <w:szCs w:val="24"/>
        </w:rPr>
        <w:t>,</w:t>
      </w:r>
      <w:r w:rsidR="008E0199">
        <w:rPr>
          <w:rFonts w:ascii="Times New Roman" w:hAnsi="Times New Roman" w:cs="Times New Roman"/>
          <w:sz w:val="24"/>
          <w:szCs w:val="24"/>
        </w:rPr>
        <w:t xml:space="preserve"> </w:t>
      </w:r>
      <w:r>
        <w:rPr>
          <w:rFonts w:ascii="Times New Roman" w:hAnsi="Times New Roman" w:cs="Times New Roman"/>
          <w:sz w:val="24"/>
          <w:szCs w:val="24"/>
        </w:rPr>
        <w:t>p.29).</w:t>
      </w:r>
    </w:p>
    <w:p w:rsidR="001C3738" w:rsidRDefault="003F099D" w:rsidP="00642948">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3738">
        <w:rPr>
          <w:rFonts w:ascii="Times New Roman" w:hAnsi="Times New Roman" w:cs="Times New Roman"/>
          <w:sz w:val="24"/>
          <w:szCs w:val="24"/>
        </w:rPr>
        <w:t xml:space="preserve">Pero el número de turistas extranjeros atraídos por la oferta mexicana sólo crece en un 7.95% </w:t>
      </w:r>
      <w:r w:rsidR="005823B0">
        <w:rPr>
          <w:rFonts w:ascii="Times New Roman" w:hAnsi="Times New Roman" w:cs="Times New Roman"/>
          <w:sz w:val="24"/>
          <w:szCs w:val="24"/>
        </w:rPr>
        <w:t>en esos mismos años (cuadro # 3</w:t>
      </w:r>
      <w:r w:rsidR="001C3738">
        <w:rPr>
          <w:rFonts w:ascii="Times New Roman" w:hAnsi="Times New Roman" w:cs="Times New Roman"/>
          <w:sz w:val="24"/>
          <w:szCs w:val="24"/>
        </w:rPr>
        <w:t>). Mucha inversión para pobres resultados.</w:t>
      </w:r>
    </w:p>
    <w:p w:rsidR="005823B0" w:rsidRDefault="000156AF" w:rsidP="005823B0">
      <w:pPr>
        <w:tabs>
          <w:tab w:val="left" w:pos="1064"/>
        </w:tabs>
        <w:spacing w:line="240" w:lineRule="auto"/>
        <w:jc w:val="center"/>
        <w:rPr>
          <w:rFonts w:ascii="Times New Roman" w:hAnsi="Times New Roman" w:cs="Times New Roman"/>
          <w:sz w:val="24"/>
          <w:szCs w:val="24"/>
        </w:rPr>
      </w:pPr>
      <w:r>
        <w:rPr>
          <w:rFonts w:ascii="Times New Roman" w:hAnsi="Times New Roman" w:cs="Times New Roman"/>
          <w:sz w:val="24"/>
          <w:szCs w:val="24"/>
        </w:rPr>
        <w:tab/>
      </w:r>
    </w:p>
    <w:p w:rsidR="001C3738" w:rsidRDefault="001C3738" w:rsidP="005823B0">
      <w:pPr>
        <w:tabs>
          <w:tab w:val="left" w:pos="1064"/>
        </w:tabs>
        <w:spacing w:after="0" w:line="240" w:lineRule="auto"/>
        <w:jc w:val="both"/>
        <w:rPr>
          <w:rFonts w:ascii="Times New Roman" w:hAnsi="Times New Roman" w:cs="Times New Roman"/>
          <w:sz w:val="24"/>
          <w:szCs w:val="24"/>
        </w:rPr>
      </w:pPr>
    </w:p>
    <w:tbl>
      <w:tblPr>
        <w:tblStyle w:val="Tablaconcuadrcula"/>
        <w:tblW w:w="0" w:type="auto"/>
        <w:tblLook w:val="04A0"/>
      </w:tblPr>
      <w:tblGrid>
        <w:gridCol w:w="910"/>
        <w:gridCol w:w="897"/>
        <w:gridCol w:w="995"/>
        <w:gridCol w:w="1134"/>
        <w:gridCol w:w="1134"/>
        <w:gridCol w:w="1275"/>
        <w:gridCol w:w="1276"/>
        <w:gridCol w:w="1276"/>
      </w:tblGrid>
      <w:tr w:rsidR="001C3738" w:rsidRPr="004E3FDD" w:rsidTr="009371E6">
        <w:tc>
          <w:tcPr>
            <w:tcW w:w="8897" w:type="dxa"/>
            <w:gridSpan w:val="8"/>
          </w:tcPr>
          <w:p w:rsidR="005823B0" w:rsidRDefault="005823B0" w:rsidP="005823B0">
            <w:pPr>
              <w:tabs>
                <w:tab w:val="left" w:pos="1064"/>
              </w:tabs>
              <w:jc w:val="center"/>
              <w:rPr>
                <w:rFonts w:ascii="Times New Roman" w:hAnsi="Times New Roman" w:cs="Times New Roman"/>
                <w:b/>
                <w:bCs/>
                <w:sz w:val="24"/>
                <w:szCs w:val="24"/>
              </w:rPr>
            </w:pPr>
            <w:r>
              <w:rPr>
                <w:rFonts w:ascii="Times New Roman" w:hAnsi="Times New Roman" w:cs="Times New Roman"/>
                <w:b/>
                <w:bCs/>
                <w:sz w:val="24"/>
                <w:szCs w:val="24"/>
              </w:rPr>
              <w:t>Cuadro # 3</w:t>
            </w:r>
          </w:p>
          <w:p w:rsidR="005823B0" w:rsidRPr="005823B0" w:rsidRDefault="005823B0" w:rsidP="005823B0">
            <w:pPr>
              <w:tabs>
                <w:tab w:val="left" w:pos="1064"/>
              </w:tabs>
              <w:jc w:val="center"/>
              <w:rPr>
                <w:rFonts w:ascii="Times New Roman" w:hAnsi="Times New Roman" w:cs="Times New Roman"/>
                <w:bCs/>
                <w:sz w:val="24"/>
                <w:szCs w:val="24"/>
              </w:rPr>
            </w:pPr>
            <w:r w:rsidRPr="005823B0">
              <w:rPr>
                <w:rFonts w:ascii="Times New Roman" w:hAnsi="Times New Roman" w:cs="Times New Roman"/>
                <w:bCs/>
                <w:sz w:val="24"/>
                <w:szCs w:val="24"/>
              </w:rPr>
              <w:t>Llegada de Turistas Internacionales</w:t>
            </w:r>
          </w:p>
          <w:p w:rsidR="001C3738" w:rsidRPr="004E3FDD" w:rsidRDefault="005823B0" w:rsidP="005823B0">
            <w:pPr>
              <w:tabs>
                <w:tab w:val="left" w:pos="1064"/>
              </w:tabs>
              <w:spacing w:line="360" w:lineRule="auto"/>
              <w:jc w:val="center"/>
              <w:rPr>
                <w:rFonts w:ascii="Times New Roman" w:hAnsi="Times New Roman" w:cs="Times New Roman"/>
                <w:sz w:val="24"/>
                <w:szCs w:val="24"/>
              </w:rPr>
            </w:pPr>
            <w:r w:rsidRPr="004E3FDD">
              <w:rPr>
                <w:rFonts w:ascii="Times New Roman" w:hAnsi="Times New Roman" w:cs="Times New Roman"/>
                <w:sz w:val="24"/>
                <w:szCs w:val="24"/>
              </w:rPr>
              <w:t>(Miles de personas</w:t>
            </w:r>
            <w:r w:rsidR="001C3738" w:rsidRPr="004E3FDD">
              <w:rPr>
                <w:rFonts w:ascii="Times New Roman" w:hAnsi="Times New Roman" w:cs="Times New Roman"/>
                <w:sz w:val="24"/>
                <w:szCs w:val="24"/>
              </w:rPr>
              <w:t>)</w:t>
            </w:r>
          </w:p>
        </w:tc>
      </w:tr>
      <w:tr w:rsidR="001C3738" w:rsidRPr="004E3FDD" w:rsidTr="009371E6">
        <w:tc>
          <w:tcPr>
            <w:tcW w:w="910"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p>
        </w:tc>
        <w:tc>
          <w:tcPr>
            <w:tcW w:w="897"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2005</w:t>
            </w:r>
          </w:p>
        </w:tc>
        <w:tc>
          <w:tcPr>
            <w:tcW w:w="995"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2006</w:t>
            </w:r>
          </w:p>
        </w:tc>
        <w:tc>
          <w:tcPr>
            <w:tcW w:w="1134"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2007</w:t>
            </w:r>
          </w:p>
        </w:tc>
        <w:tc>
          <w:tcPr>
            <w:tcW w:w="1134"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2008</w:t>
            </w:r>
          </w:p>
        </w:tc>
        <w:tc>
          <w:tcPr>
            <w:tcW w:w="1275"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2009</w:t>
            </w:r>
          </w:p>
        </w:tc>
        <w:tc>
          <w:tcPr>
            <w:tcW w:w="1276"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2010</w:t>
            </w:r>
          </w:p>
        </w:tc>
        <w:tc>
          <w:tcPr>
            <w:tcW w:w="1276"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2011</w:t>
            </w:r>
          </w:p>
        </w:tc>
      </w:tr>
      <w:tr w:rsidR="001C3738" w:rsidRPr="004E3FDD" w:rsidTr="009371E6">
        <w:tc>
          <w:tcPr>
            <w:tcW w:w="910"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sz w:val="24"/>
                <w:szCs w:val="24"/>
              </w:rPr>
              <w:t>turistas</w:t>
            </w:r>
          </w:p>
        </w:tc>
        <w:tc>
          <w:tcPr>
            <w:tcW w:w="897"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21,915</w:t>
            </w:r>
          </w:p>
        </w:tc>
        <w:tc>
          <w:tcPr>
            <w:tcW w:w="995"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21,353</w:t>
            </w:r>
          </w:p>
        </w:tc>
        <w:tc>
          <w:tcPr>
            <w:tcW w:w="1134"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21,424</w:t>
            </w:r>
          </w:p>
        </w:tc>
        <w:tc>
          <w:tcPr>
            <w:tcW w:w="1134"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22,637</w:t>
            </w:r>
          </w:p>
        </w:tc>
        <w:tc>
          <w:tcPr>
            <w:tcW w:w="1275"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21,454</w:t>
            </w:r>
          </w:p>
        </w:tc>
        <w:tc>
          <w:tcPr>
            <w:tcW w:w="1276"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22,260</w:t>
            </w:r>
          </w:p>
        </w:tc>
        <w:tc>
          <w:tcPr>
            <w:tcW w:w="1276" w:type="dxa"/>
          </w:tcPr>
          <w:p w:rsidR="001C3738" w:rsidRPr="004E3FDD" w:rsidRDefault="001C3738" w:rsidP="00642948">
            <w:pPr>
              <w:tabs>
                <w:tab w:val="left" w:pos="1064"/>
              </w:tabs>
              <w:spacing w:line="360" w:lineRule="auto"/>
              <w:jc w:val="both"/>
              <w:rPr>
                <w:rFonts w:ascii="Times New Roman" w:hAnsi="Times New Roman" w:cs="Times New Roman"/>
                <w:sz w:val="24"/>
                <w:szCs w:val="24"/>
              </w:rPr>
            </w:pPr>
            <w:r w:rsidRPr="004E3FDD">
              <w:rPr>
                <w:rFonts w:ascii="Times New Roman" w:hAnsi="Times New Roman" w:cs="Times New Roman"/>
                <w:color w:val="000000"/>
                <w:sz w:val="24"/>
                <w:szCs w:val="24"/>
              </w:rPr>
              <w:t>23,050</w:t>
            </w:r>
          </w:p>
        </w:tc>
      </w:tr>
      <w:tr w:rsidR="001C3738" w:rsidRPr="004E3FDD" w:rsidTr="009371E6">
        <w:tc>
          <w:tcPr>
            <w:tcW w:w="8897" w:type="dxa"/>
            <w:gridSpan w:val="8"/>
          </w:tcPr>
          <w:p w:rsidR="001C3738" w:rsidRPr="00A253B8" w:rsidRDefault="001C3738" w:rsidP="00417425">
            <w:pPr>
              <w:tabs>
                <w:tab w:val="left" w:pos="1064"/>
              </w:tabs>
              <w:spacing w:line="360" w:lineRule="auto"/>
              <w:jc w:val="both"/>
              <w:rPr>
                <w:rFonts w:ascii="Times New Roman" w:hAnsi="Times New Roman" w:cs="Times New Roman"/>
                <w:sz w:val="20"/>
                <w:szCs w:val="20"/>
              </w:rPr>
            </w:pPr>
            <w:r w:rsidRPr="00A253B8">
              <w:rPr>
                <w:rFonts w:ascii="Times New Roman" w:hAnsi="Times New Roman" w:cs="Times New Roman"/>
                <w:sz w:val="20"/>
                <w:szCs w:val="20"/>
              </w:rPr>
              <w:t>Fuente:</w:t>
            </w:r>
            <w:r w:rsidR="00CD4EAA">
              <w:rPr>
                <w:rFonts w:ascii="Times New Roman" w:hAnsi="Times New Roman" w:cs="Times New Roman"/>
                <w:sz w:val="20"/>
                <w:szCs w:val="20"/>
              </w:rPr>
              <w:t xml:space="preserve"> Elaboración propia con datos de: </w:t>
            </w:r>
            <w:r w:rsidRPr="00A253B8">
              <w:rPr>
                <w:rFonts w:ascii="Times New Roman" w:hAnsi="Times New Roman" w:cs="Times New Roman"/>
                <w:bCs/>
                <w:iCs/>
                <w:sz w:val="20"/>
                <w:szCs w:val="20"/>
              </w:rPr>
              <w:t>López y González, 2011</w:t>
            </w:r>
          </w:p>
        </w:tc>
      </w:tr>
    </w:tbl>
    <w:p w:rsidR="001C3738" w:rsidRDefault="001C3738" w:rsidP="00642948">
      <w:pPr>
        <w:tabs>
          <w:tab w:val="left" w:pos="1064"/>
        </w:tabs>
        <w:spacing w:after="0" w:line="360" w:lineRule="auto"/>
        <w:jc w:val="both"/>
        <w:rPr>
          <w:rFonts w:ascii="Times New Roman" w:hAnsi="Times New Roman" w:cs="Times New Roman"/>
          <w:sz w:val="24"/>
          <w:szCs w:val="24"/>
        </w:rPr>
      </w:pPr>
    </w:p>
    <w:p w:rsidR="001C3738" w:rsidRDefault="001C3738" w:rsidP="00642948">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Detrás de este comportamiento de crecimiento </w:t>
      </w:r>
      <w:r w:rsidR="00692D83">
        <w:rPr>
          <w:rFonts w:ascii="Times New Roman" w:hAnsi="Times New Roman" w:cs="Times New Roman"/>
          <w:sz w:val="24"/>
          <w:szCs w:val="24"/>
        </w:rPr>
        <w:t xml:space="preserve">moderado </w:t>
      </w:r>
      <w:r>
        <w:rPr>
          <w:rFonts w:ascii="Times New Roman" w:hAnsi="Times New Roman" w:cs="Times New Roman"/>
          <w:sz w:val="24"/>
          <w:szCs w:val="24"/>
        </w:rPr>
        <w:t xml:space="preserve">en la captación de turismo internacional y de baja aportación netas de divisas del sector a las cuentas externas del país, es claro que se encuentra el constante agravamiento de la inseguridad interna de México, primero por la expansión evidente del crimen organizado en el periodo; y más adelante, </w:t>
      </w:r>
      <w:r>
        <w:rPr>
          <w:rFonts w:ascii="Times New Roman" w:hAnsi="Times New Roman" w:cs="Times New Roman"/>
          <w:sz w:val="24"/>
          <w:szCs w:val="24"/>
        </w:rPr>
        <w:lastRenderedPageBreak/>
        <w:t>sobre todo, por las consecuencia</w:t>
      </w:r>
      <w:r w:rsidR="00572042">
        <w:rPr>
          <w:rFonts w:ascii="Times New Roman" w:hAnsi="Times New Roman" w:cs="Times New Roman"/>
          <w:sz w:val="24"/>
          <w:szCs w:val="24"/>
        </w:rPr>
        <w:t>s</w:t>
      </w:r>
      <w:r>
        <w:rPr>
          <w:rFonts w:ascii="Times New Roman" w:hAnsi="Times New Roman" w:cs="Times New Roman"/>
          <w:sz w:val="24"/>
          <w:szCs w:val="24"/>
        </w:rPr>
        <w:t xml:space="preserve"> de la incontrolada y desordenada </w:t>
      </w:r>
      <w:r>
        <w:rPr>
          <w:rFonts w:ascii="Times New Roman" w:hAnsi="Times New Roman" w:cs="Times New Roman"/>
          <w:i/>
          <w:sz w:val="24"/>
          <w:szCs w:val="24"/>
        </w:rPr>
        <w:t>guerra contra el narcotráfico</w:t>
      </w:r>
      <w:r>
        <w:rPr>
          <w:rFonts w:ascii="Times New Roman" w:hAnsi="Times New Roman" w:cs="Times New Roman"/>
          <w:sz w:val="24"/>
          <w:szCs w:val="24"/>
        </w:rPr>
        <w:t xml:space="preserve">, declarada por el gobierno de Felipe Calderón y continuada por el </w:t>
      </w:r>
      <w:r w:rsidR="00DF1A3D">
        <w:rPr>
          <w:rFonts w:ascii="Times New Roman" w:hAnsi="Times New Roman" w:cs="Times New Roman"/>
          <w:sz w:val="24"/>
          <w:szCs w:val="24"/>
        </w:rPr>
        <w:t>de Peña Nieto (</w:t>
      </w:r>
      <w:r>
        <w:rPr>
          <w:rFonts w:ascii="Times New Roman" w:hAnsi="Times New Roman" w:cs="Times New Roman"/>
          <w:sz w:val="24"/>
          <w:szCs w:val="24"/>
        </w:rPr>
        <w:t>Meyer, 20</w:t>
      </w:r>
      <w:r w:rsidR="00DF1A3D">
        <w:rPr>
          <w:rFonts w:ascii="Times New Roman" w:hAnsi="Times New Roman" w:cs="Times New Roman"/>
          <w:sz w:val="24"/>
          <w:szCs w:val="24"/>
        </w:rPr>
        <w:t>13</w:t>
      </w:r>
      <w:r>
        <w:rPr>
          <w:rFonts w:ascii="Times New Roman" w:hAnsi="Times New Roman" w:cs="Times New Roman"/>
          <w:sz w:val="24"/>
          <w:szCs w:val="24"/>
        </w:rPr>
        <w:t>)</w:t>
      </w:r>
      <w:r>
        <w:rPr>
          <w:rStyle w:val="Refdenotaalpie"/>
          <w:rFonts w:ascii="Times New Roman" w:hAnsi="Times New Roman" w:cs="Times New Roman"/>
          <w:sz w:val="24"/>
          <w:szCs w:val="24"/>
        </w:rPr>
        <w:footnoteReference w:id="13"/>
      </w:r>
      <w:r>
        <w:rPr>
          <w:rFonts w:ascii="Times New Roman" w:hAnsi="Times New Roman" w:cs="Times New Roman"/>
          <w:sz w:val="24"/>
          <w:szCs w:val="24"/>
        </w:rPr>
        <w:t>. Sin entrar en detalles, es preciso hacer mención de los recurrentes llamados del gobierno norteamericano a sus conciudadanos, que son los principales visitantes turísticos internacionales a México (DATATUR/SECTUR, 2013), a que extremen sus precauciones al viajar a este país, o bien a que de plano suspendan sus visitas a menos que tengan asuntos impostergables que atender, cuando menos en relación a algunos de los estados más violentos. Por el lado del GME, considerarse el ostentoso dispendio del que hacen gala viajeros mexicanos conspicuos cuando viajan por el mundo. Los casos famosos de la hija del líder petrolero Romero Deschamps, de la familia del Presidente Peña Nieto o de la del presidente del PAN, Gustavo Madero, lejos de ser ejemplos aislados, representan prácticas extendidas de empresarios y políticos beneficiados por la enorme desigualdad del ingreso en el país.</w:t>
      </w:r>
    </w:p>
    <w:p w:rsidR="00D75643" w:rsidRPr="00D75643" w:rsidRDefault="00F740BE" w:rsidP="00642948">
      <w:pPr>
        <w:tabs>
          <w:tab w:val="left" w:pos="106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5643">
        <w:rPr>
          <w:rFonts w:ascii="Times New Roman" w:hAnsi="Times New Roman" w:cs="Times New Roman"/>
          <w:sz w:val="24"/>
          <w:szCs w:val="24"/>
        </w:rPr>
        <w:t xml:space="preserve">Cabe preguntarse, además, qué tanto del sector de servicios turísticos en el país pertenece a las grandes empresas transnacionales y qué tanto del turismo internacional que llega a México está compuesto por migrantes de origen mexicano que vienen a lo que Shinji Hirai denomina como </w:t>
      </w:r>
      <w:r w:rsidR="00D75643">
        <w:rPr>
          <w:rFonts w:ascii="Times New Roman" w:hAnsi="Times New Roman" w:cs="Times New Roman"/>
          <w:i/>
          <w:sz w:val="24"/>
          <w:szCs w:val="24"/>
        </w:rPr>
        <w:t>el turismo de la nostalgia</w:t>
      </w:r>
      <w:r w:rsidR="00D75643">
        <w:rPr>
          <w:rFonts w:ascii="Times New Roman" w:hAnsi="Times New Roman" w:cs="Times New Roman"/>
          <w:sz w:val="24"/>
          <w:szCs w:val="24"/>
        </w:rPr>
        <w:t xml:space="preserve"> (Hirai; 2009).</w:t>
      </w:r>
    </w:p>
    <w:p w:rsidR="00E7776C" w:rsidRDefault="00E7776C" w:rsidP="00642948">
      <w:pPr>
        <w:spacing w:after="0" w:line="360" w:lineRule="auto"/>
        <w:jc w:val="both"/>
        <w:rPr>
          <w:rFonts w:ascii="Times New Roman" w:hAnsi="Times New Roman"/>
          <w:sz w:val="24"/>
          <w:szCs w:val="24"/>
        </w:rPr>
      </w:pP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t xml:space="preserve">IV. </w:t>
      </w:r>
      <w:r w:rsidR="00375D91">
        <w:rPr>
          <w:rFonts w:ascii="Times New Roman" w:hAnsi="Times New Roman"/>
          <w:sz w:val="24"/>
          <w:szCs w:val="24"/>
        </w:rPr>
        <w:t>UN</w:t>
      </w:r>
      <w:r>
        <w:rPr>
          <w:rFonts w:ascii="Times New Roman" w:hAnsi="Times New Roman"/>
          <w:sz w:val="24"/>
          <w:szCs w:val="24"/>
        </w:rPr>
        <w:t xml:space="preserve"> EL CRUDO </w:t>
      </w:r>
      <w:r w:rsidR="00375D91">
        <w:rPr>
          <w:rFonts w:ascii="Times New Roman" w:hAnsi="Times New Roman"/>
          <w:sz w:val="24"/>
          <w:szCs w:val="24"/>
        </w:rPr>
        <w:t xml:space="preserve">QUE </w:t>
      </w:r>
      <w:r>
        <w:rPr>
          <w:rFonts w:ascii="Times New Roman" w:hAnsi="Times New Roman"/>
          <w:sz w:val="24"/>
          <w:szCs w:val="24"/>
        </w:rPr>
        <w:t xml:space="preserve">YA NO ALCANZA </w:t>
      </w:r>
      <w:r w:rsidR="00F740BE">
        <w:rPr>
          <w:rFonts w:ascii="Times New Roman" w:hAnsi="Times New Roman"/>
          <w:sz w:val="24"/>
          <w:szCs w:val="24"/>
        </w:rPr>
        <w:t xml:space="preserve">NI </w:t>
      </w:r>
      <w:r>
        <w:rPr>
          <w:rFonts w:ascii="Times New Roman" w:hAnsi="Times New Roman"/>
          <w:sz w:val="24"/>
          <w:szCs w:val="24"/>
        </w:rPr>
        <w:t>PARA LAS COMPRAS DE REFINADOS</w:t>
      </w:r>
    </w:p>
    <w:p w:rsidR="00990DE7" w:rsidRDefault="00990DE7" w:rsidP="00642948">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Las remesas ya rebasaron a las ventas de hidrocarburos, </w:t>
      </w:r>
    </w:p>
    <w:p w:rsidR="00990DE7" w:rsidRDefault="00990DE7" w:rsidP="00642948">
      <w:pPr>
        <w:spacing w:after="0" w:line="240" w:lineRule="auto"/>
        <w:jc w:val="right"/>
        <w:rPr>
          <w:rFonts w:ascii="Times New Roman" w:hAnsi="Times New Roman" w:cs="Times New Roman"/>
          <w:i/>
          <w:sz w:val="24"/>
          <w:szCs w:val="24"/>
        </w:rPr>
      </w:pPr>
      <w:r>
        <w:rPr>
          <w:rFonts w:ascii="Times New Roman" w:hAnsi="Times New Roman" w:cs="Times New Roman"/>
          <w:b/>
          <w:i/>
          <w:sz w:val="24"/>
          <w:szCs w:val="24"/>
        </w:rPr>
        <w:t>La Jornada</w:t>
      </w:r>
      <w:r>
        <w:rPr>
          <w:rFonts w:ascii="Times New Roman" w:hAnsi="Times New Roman" w:cs="Times New Roman"/>
          <w:i/>
          <w:sz w:val="24"/>
          <w:szCs w:val="24"/>
        </w:rPr>
        <w:t>, 5 de mayo de 2015, primera plana</w:t>
      </w:r>
    </w:p>
    <w:p w:rsidR="00642948" w:rsidRPr="00642948" w:rsidRDefault="00642948" w:rsidP="00642948">
      <w:pPr>
        <w:spacing w:after="0" w:line="240" w:lineRule="auto"/>
        <w:jc w:val="right"/>
        <w:rPr>
          <w:rFonts w:ascii="Times New Roman" w:hAnsi="Times New Roman" w:cs="Times New Roman"/>
          <w:sz w:val="24"/>
          <w:szCs w:val="24"/>
        </w:rPr>
      </w:pPr>
    </w:p>
    <w:p w:rsidR="00322952" w:rsidRPr="00EC7E4A" w:rsidRDefault="00322952" w:rsidP="00642948">
      <w:pPr>
        <w:spacing w:after="0" w:line="360" w:lineRule="auto"/>
        <w:jc w:val="both"/>
        <w:rPr>
          <w:rFonts w:ascii="Times New Roman" w:hAnsi="Times New Roman"/>
          <w:sz w:val="24"/>
          <w:szCs w:val="24"/>
        </w:rPr>
      </w:pPr>
      <w:r w:rsidRPr="00EC7E4A">
        <w:rPr>
          <w:rFonts w:ascii="Times New Roman" w:hAnsi="Times New Roman"/>
          <w:sz w:val="24"/>
          <w:szCs w:val="24"/>
        </w:rPr>
        <w:t>A partir de 2015, México se convierte en un importador de crudo de los Estados Unidos, a la par de que sigue siendo un fuerte importador de derivados petroleros, al grado de que el saldo de la balanza de las ventas y las compras petroleras de México se aproxima peligrosamente a cero. La capacidad de refinación del crudo, por otro lado, es cada vez menor en términos relativos; la nueva refinería, cuy</w:t>
      </w:r>
      <w:r w:rsidR="00B82E79">
        <w:rPr>
          <w:rFonts w:ascii="Times New Roman" w:hAnsi="Times New Roman"/>
          <w:sz w:val="24"/>
          <w:szCs w:val="24"/>
        </w:rPr>
        <w:t>o</w:t>
      </w:r>
      <w:r w:rsidRPr="00EC7E4A">
        <w:rPr>
          <w:rFonts w:ascii="Times New Roman" w:hAnsi="Times New Roman"/>
          <w:sz w:val="24"/>
          <w:szCs w:val="24"/>
        </w:rPr>
        <w:t xml:space="preserve"> </w:t>
      </w:r>
      <w:r w:rsidR="00B82E79">
        <w:rPr>
          <w:rFonts w:ascii="Times New Roman" w:hAnsi="Times New Roman"/>
          <w:sz w:val="24"/>
          <w:szCs w:val="24"/>
        </w:rPr>
        <w:t>anuncio se realizó</w:t>
      </w:r>
      <w:r w:rsidRPr="00EC7E4A">
        <w:rPr>
          <w:rFonts w:ascii="Times New Roman" w:hAnsi="Times New Roman"/>
          <w:sz w:val="24"/>
          <w:szCs w:val="24"/>
        </w:rPr>
        <w:t xml:space="preserve"> con una gran campaña mediática en el sexenio de Felipe Calderón, ha sido dejada a un lado sin iniciar siquiera su construcción. Pese a la notable caída de los precios internacionales del petróleo, </w:t>
      </w:r>
      <w:r w:rsidRPr="00EC7E4A">
        <w:rPr>
          <w:rFonts w:ascii="Times New Roman" w:hAnsi="Times New Roman"/>
          <w:sz w:val="24"/>
          <w:szCs w:val="24"/>
        </w:rPr>
        <w:lastRenderedPageBreak/>
        <w:t xml:space="preserve">el precio interno de las gasolinas en México -los </w:t>
      </w:r>
      <w:r w:rsidRPr="00EC7E4A">
        <w:rPr>
          <w:rFonts w:ascii="Times New Roman" w:hAnsi="Times New Roman"/>
          <w:i/>
          <w:sz w:val="24"/>
          <w:szCs w:val="24"/>
        </w:rPr>
        <w:t>gasolinazos</w:t>
      </w:r>
      <w:r w:rsidRPr="00EC7E4A">
        <w:rPr>
          <w:rFonts w:ascii="Times New Roman" w:hAnsi="Times New Roman"/>
          <w:sz w:val="24"/>
          <w:szCs w:val="24"/>
        </w:rPr>
        <w:t>, en términos populares- no dejan de aumentar constantemente</w:t>
      </w:r>
      <w:r>
        <w:rPr>
          <w:rFonts w:ascii="Times New Roman" w:hAnsi="Times New Roman"/>
          <w:sz w:val="24"/>
          <w:szCs w:val="24"/>
        </w:rPr>
        <w:t>.</w:t>
      </w:r>
      <w:r w:rsidRPr="00EC7E4A">
        <w:rPr>
          <w:rFonts w:ascii="Times New Roman" w:hAnsi="Times New Roman"/>
          <w:sz w:val="24"/>
          <w:szCs w:val="24"/>
        </w:rPr>
        <w:t xml:space="preserve"> PEMEX, por otro lado, sigue siendo la </w:t>
      </w:r>
      <w:r w:rsidRPr="00EC7E4A">
        <w:rPr>
          <w:rFonts w:ascii="Times New Roman" w:hAnsi="Times New Roman"/>
          <w:i/>
          <w:sz w:val="24"/>
          <w:szCs w:val="24"/>
        </w:rPr>
        <w:t>caja chica</w:t>
      </w:r>
      <w:r w:rsidRPr="00EC7E4A">
        <w:rPr>
          <w:rFonts w:ascii="Times New Roman" w:hAnsi="Times New Roman"/>
          <w:sz w:val="24"/>
          <w:szCs w:val="24"/>
        </w:rPr>
        <w:t xml:space="preserve"> del gobierno, una empresa a la que se le extraen regularmente recursos que la hacen prácticamente inviable, situación que se mantiene en la nueva legislación, pese a que la balanza petrolera arroja cada vez menos divisas netas. Un defensor muy activo de la reforma energética y ex-director de PEMEX, Jesús Reyes Heroles, publicó una columna</w:t>
      </w:r>
      <w:r w:rsidR="008212B7">
        <w:rPr>
          <w:rFonts w:ascii="Times New Roman" w:hAnsi="Times New Roman"/>
          <w:sz w:val="24"/>
          <w:szCs w:val="24"/>
        </w:rPr>
        <w:t xml:space="preserve"> intitulada </w:t>
      </w:r>
      <w:r w:rsidR="008212B7">
        <w:rPr>
          <w:rFonts w:ascii="Times New Roman" w:hAnsi="Times New Roman"/>
          <w:i/>
          <w:sz w:val="24"/>
          <w:szCs w:val="24"/>
        </w:rPr>
        <w:t>¿Ahogar a PEMEX?</w:t>
      </w:r>
      <w:r w:rsidRPr="00EC7E4A">
        <w:rPr>
          <w:rStyle w:val="Refdenotaalpie"/>
          <w:rFonts w:ascii="Times New Roman" w:hAnsi="Times New Roman"/>
          <w:sz w:val="24"/>
          <w:szCs w:val="24"/>
        </w:rPr>
        <w:footnoteReference w:id="14"/>
      </w:r>
      <w:r w:rsidRPr="00EC7E4A">
        <w:rPr>
          <w:rFonts w:ascii="Times New Roman" w:hAnsi="Times New Roman"/>
          <w:sz w:val="24"/>
          <w:szCs w:val="24"/>
        </w:rPr>
        <w:t xml:space="preserve"> en la que se pregunta, en una curiosa coincidencia con los más fuertes críticos de dicha reforma, como el senador Manuel Barttlet</w:t>
      </w:r>
      <w:r w:rsidRPr="00EC7E4A">
        <w:rPr>
          <w:rStyle w:val="Refdenotaalpie"/>
          <w:rFonts w:ascii="Times New Roman" w:hAnsi="Times New Roman"/>
          <w:sz w:val="24"/>
          <w:szCs w:val="24"/>
        </w:rPr>
        <w:footnoteReference w:id="15"/>
      </w:r>
      <w:r w:rsidRPr="00EC7E4A">
        <w:rPr>
          <w:rFonts w:ascii="Times New Roman" w:hAnsi="Times New Roman"/>
          <w:sz w:val="24"/>
          <w:szCs w:val="24"/>
        </w:rPr>
        <w:t xml:space="preserve">, si el objetivo del gobierno no es la destrucción de la empresa, ahora convertida en </w:t>
      </w:r>
      <w:r w:rsidRPr="00EC7E4A">
        <w:rPr>
          <w:rFonts w:ascii="Times New Roman" w:hAnsi="Times New Roman"/>
          <w:i/>
          <w:sz w:val="24"/>
          <w:szCs w:val="24"/>
        </w:rPr>
        <w:t>Empresa Productiva del Estado</w:t>
      </w:r>
      <w:r>
        <w:rPr>
          <w:rStyle w:val="Refdenotaalpie"/>
          <w:rFonts w:ascii="Times New Roman" w:hAnsi="Times New Roman"/>
          <w:i/>
          <w:sz w:val="24"/>
          <w:szCs w:val="24"/>
        </w:rPr>
        <w:footnoteReference w:id="16"/>
      </w:r>
      <w:r w:rsidRPr="00EC7E4A">
        <w:rPr>
          <w:rFonts w:ascii="Times New Roman" w:hAnsi="Times New Roman"/>
          <w:sz w:val="24"/>
          <w:szCs w:val="24"/>
        </w:rPr>
        <w:t>.</w:t>
      </w:r>
    </w:p>
    <w:p w:rsidR="00322952" w:rsidRPr="00C01E4F" w:rsidRDefault="00322952" w:rsidP="00642948">
      <w:pPr>
        <w:spacing w:after="0" w:line="360" w:lineRule="auto"/>
        <w:jc w:val="both"/>
        <w:rPr>
          <w:rFonts w:ascii="Times New Roman" w:hAnsi="Times New Roman"/>
          <w:sz w:val="24"/>
          <w:szCs w:val="24"/>
        </w:rPr>
      </w:pPr>
      <w:r w:rsidRPr="00EC7E4A">
        <w:rPr>
          <w:rFonts w:ascii="Times New Roman" w:hAnsi="Times New Roman"/>
          <w:sz w:val="24"/>
          <w:szCs w:val="24"/>
        </w:rPr>
        <w:tab/>
      </w:r>
      <w:r w:rsidRPr="00C01E4F">
        <w:rPr>
          <w:rFonts w:ascii="Times New Roman" w:hAnsi="Times New Roman"/>
          <w:sz w:val="24"/>
          <w:szCs w:val="24"/>
        </w:rPr>
        <w:t xml:space="preserve">Desde que se decidió en el gobierno de José López Portillo que México debía modificar sustancialmente su política petrolera para convertirse en un exportador importante de crudo, para aprovechar el alza mundial de los precios petroleros y llevar al país a </w:t>
      </w:r>
      <w:r w:rsidRPr="00C01E4F">
        <w:rPr>
          <w:rFonts w:ascii="Times New Roman" w:hAnsi="Times New Roman"/>
          <w:i/>
          <w:sz w:val="24"/>
          <w:szCs w:val="24"/>
        </w:rPr>
        <w:t>administrar la abundancia</w:t>
      </w:r>
      <w:r w:rsidRPr="00C01E4F">
        <w:rPr>
          <w:rFonts w:ascii="Times New Roman" w:hAnsi="Times New Roman"/>
          <w:sz w:val="24"/>
          <w:szCs w:val="24"/>
        </w:rPr>
        <w:t xml:space="preserve">, muchas cosas han pasado en el mundo del petróleo y en México. Para esta nación, una muy importante fue la firma del TLCAN, que significó una apertura nunca antes vivida de la economía mexicana hacia el exterior, pero que dejó explícitamente al hidrocarburo fuera del acuerdo norteamericano. Otra más, ha sido la importante transformación de los mercados petroleros mundiales. Estados Unidos transita claramente hacia la autosuficiencia energética y la OPEP cambia su estrategia frente a las crisis de precios en 2014-2015 (antes disminuía la producción para mantener los precios altos, ahora mantiene el nivel de producción para abatirlos); pero también cambia la oferta de productos energéticos, al crecer la explotación y comercialización de los generados mediante técnicas de fragmentación </w:t>
      </w:r>
      <w:r w:rsidR="00436E43" w:rsidRPr="00C01E4F">
        <w:rPr>
          <w:rFonts w:ascii="Times New Roman" w:hAnsi="Times New Roman"/>
          <w:sz w:val="24"/>
          <w:szCs w:val="24"/>
        </w:rPr>
        <w:t xml:space="preserve">hidráulica </w:t>
      </w:r>
      <w:r w:rsidRPr="00C01E4F">
        <w:rPr>
          <w:rFonts w:ascii="Times New Roman" w:hAnsi="Times New Roman"/>
          <w:sz w:val="24"/>
          <w:szCs w:val="24"/>
        </w:rPr>
        <w:t>(</w:t>
      </w:r>
      <w:r w:rsidRPr="00C01E4F">
        <w:rPr>
          <w:rFonts w:ascii="Times New Roman" w:hAnsi="Times New Roman"/>
          <w:i/>
          <w:sz w:val="24"/>
          <w:szCs w:val="24"/>
        </w:rPr>
        <w:t>fracking</w:t>
      </w:r>
      <w:r w:rsidRPr="00C01E4F">
        <w:rPr>
          <w:rFonts w:ascii="Times New Roman" w:hAnsi="Times New Roman"/>
          <w:sz w:val="24"/>
          <w:szCs w:val="24"/>
        </w:rPr>
        <w:t xml:space="preserve">). </w:t>
      </w:r>
    </w:p>
    <w:p w:rsidR="00322952" w:rsidRPr="00C01E4F" w:rsidRDefault="00322952" w:rsidP="00642948">
      <w:pPr>
        <w:spacing w:after="0" w:line="360" w:lineRule="auto"/>
        <w:jc w:val="both"/>
        <w:rPr>
          <w:rFonts w:ascii="Times New Roman" w:hAnsi="Times New Roman"/>
          <w:sz w:val="24"/>
          <w:szCs w:val="24"/>
        </w:rPr>
      </w:pPr>
      <w:r w:rsidRPr="00C01E4F">
        <w:rPr>
          <w:rFonts w:ascii="Times New Roman" w:hAnsi="Times New Roman"/>
          <w:sz w:val="24"/>
          <w:szCs w:val="24"/>
        </w:rPr>
        <w:tab/>
        <w:t xml:space="preserve">Otra, por supuesto, es la reforma energética. Tendrían que pasar veinte años de TLCAN para que finalmente las fuerzas aperturistas consiguieran que el petróleo, junto con la energía eléctrica, dejaran de ser propiedad exclusiva de la nación mexicana y se abrieran </w:t>
      </w:r>
      <w:r w:rsidRPr="00C01E4F">
        <w:rPr>
          <w:rFonts w:ascii="Times New Roman" w:hAnsi="Times New Roman"/>
          <w:sz w:val="24"/>
          <w:szCs w:val="24"/>
        </w:rPr>
        <w:lastRenderedPageBreak/>
        <w:t xml:space="preserve">al mercado transnacional; en un  momento, por cierto, en el que los precios del energético presentan un descenso histórico, con un mercado mundial presa de fuertes incertidumbres y con una realidad interna dominada por la violencia y la inseguridad, muy marcada en zonas como Tamaulipas, en donde se preveía la inmediata llegada de capitales para la explotación de </w:t>
      </w:r>
      <w:r w:rsidR="00985EC2" w:rsidRPr="00C01E4F">
        <w:rPr>
          <w:rFonts w:ascii="Times New Roman" w:hAnsi="Times New Roman"/>
          <w:sz w:val="24"/>
          <w:szCs w:val="24"/>
        </w:rPr>
        <w:t>energéticos obtenidos mediantes las técnicas de fragmentación</w:t>
      </w:r>
      <w:r w:rsidRPr="00C01E4F">
        <w:rPr>
          <w:rFonts w:ascii="Times New Roman" w:hAnsi="Times New Roman"/>
          <w:sz w:val="24"/>
          <w:szCs w:val="24"/>
        </w:rPr>
        <w:t>.</w:t>
      </w:r>
    </w:p>
    <w:p w:rsidR="00322952" w:rsidRPr="00EC7E4A" w:rsidRDefault="00322952" w:rsidP="00642948">
      <w:pPr>
        <w:spacing w:after="0" w:line="360" w:lineRule="auto"/>
        <w:jc w:val="both"/>
        <w:rPr>
          <w:rFonts w:ascii="Times New Roman" w:hAnsi="Times New Roman"/>
          <w:sz w:val="24"/>
          <w:szCs w:val="24"/>
        </w:rPr>
      </w:pPr>
      <w:r w:rsidRPr="00C01E4F">
        <w:rPr>
          <w:rFonts w:ascii="Times New Roman" w:hAnsi="Times New Roman"/>
          <w:sz w:val="24"/>
          <w:szCs w:val="24"/>
        </w:rPr>
        <w:tab/>
        <w:t>En el inter, la empresa paraestatal PEMEX fue reduciendo cada vez más sus actividades a la extracción y exportación de crudo, disminuyendo sus capacidades relativas de refinación, así como las de investigación y desarrollo. Paralelamente, la corrupción y la ineficiencia fueron llegando a niveles antes no vistos tanto en la propia empresa como en el Sindicato Nacional de Trabajadores Petroleros de la República Mexicana (SNTPRM)</w:t>
      </w:r>
      <w:r w:rsidR="00692D83" w:rsidRPr="00C01E4F">
        <w:rPr>
          <w:rFonts w:ascii="Times New Roman" w:hAnsi="Times New Roman"/>
          <w:sz w:val="24"/>
          <w:szCs w:val="24"/>
        </w:rPr>
        <w:t xml:space="preserve"> (Meyer, 20</w:t>
      </w:r>
      <w:r w:rsidR="003B3EE8" w:rsidRPr="00C01E4F">
        <w:rPr>
          <w:rFonts w:ascii="Times New Roman" w:hAnsi="Times New Roman"/>
          <w:sz w:val="24"/>
          <w:szCs w:val="24"/>
        </w:rPr>
        <w:t>13)</w:t>
      </w:r>
      <w:r w:rsidRPr="00C01E4F">
        <w:rPr>
          <w:rFonts w:ascii="Times New Roman" w:hAnsi="Times New Roman"/>
          <w:sz w:val="24"/>
          <w:szCs w:val="24"/>
        </w:rPr>
        <w:t>.</w:t>
      </w:r>
    </w:p>
    <w:p w:rsidR="00322952" w:rsidRPr="00EC7E4A" w:rsidRDefault="00322952" w:rsidP="00642948">
      <w:pPr>
        <w:spacing w:after="0" w:line="360" w:lineRule="auto"/>
        <w:jc w:val="both"/>
        <w:rPr>
          <w:rFonts w:ascii="Times New Roman" w:hAnsi="Times New Roman"/>
          <w:sz w:val="24"/>
          <w:szCs w:val="24"/>
        </w:rPr>
      </w:pPr>
      <w:r w:rsidRPr="00EC7E4A">
        <w:rPr>
          <w:rFonts w:ascii="Times New Roman" w:hAnsi="Times New Roman"/>
          <w:sz w:val="24"/>
          <w:szCs w:val="24"/>
        </w:rPr>
        <w:tab/>
        <w:t xml:space="preserve">Como </w:t>
      </w:r>
      <w:r>
        <w:rPr>
          <w:rFonts w:ascii="Times New Roman" w:hAnsi="Times New Roman"/>
          <w:sz w:val="24"/>
          <w:szCs w:val="24"/>
        </w:rPr>
        <w:t>apoyo estratégico</w:t>
      </w:r>
      <w:r w:rsidRPr="00EC7E4A">
        <w:rPr>
          <w:rFonts w:ascii="Times New Roman" w:hAnsi="Times New Roman"/>
          <w:sz w:val="24"/>
          <w:szCs w:val="24"/>
        </w:rPr>
        <w:t xml:space="preserve"> para el desarrollo nacional, papel que le asignaba el Presidente Cárdenas</w:t>
      </w:r>
      <w:r>
        <w:rPr>
          <w:rFonts w:ascii="Times New Roman" w:hAnsi="Times New Roman"/>
          <w:sz w:val="24"/>
          <w:szCs w:val="24"/>
        </w:rPr>
        <w:t xml:space="preserve"> (Meyer, 2013)</w:t>
      </w:r>
      <w:r w:rsidRPr="00EC7E4A">
        <w:rPr>
          <w:rFonts w:ascii="Times New Roman" w:hAnsi="Times New Roman"/>
          <w:sz w:val="24"/>
          <w:szCs w:val="24"/>
        </w:rPr>
        <w:t>, el petróleo mexicano fue dejado a un lado. Además, con la utilización de PEMEX como la caja chica de los últimos gobiernos, las ganancias provenientes del energético están lejos de haberse asentado en la estructura productiva del país. Resulta difícil no ver en la forma en que se ha diseñado e implementado la política petrolera de México en estos veinte años, así como en la forma en que ha sido conducida la empresa y manejado el sindicato petrolero, un diseño estratégico dirigido precisamente a debilitar al máximo a PEMEX, a hacerla inviable como empresa estatal, para crear las condiciones propicias para la privatización del petróleo y para la conversión de la empresa en una débil competidora de las potencias transnacionales del sector</w:t>
      </w:r>
      <w:r>
        <w:rPr>
          <w:rFonts w:ascii="Times New Roman" w:hAnsi="Times New Roman"/>
          <w:sz w:val="24"/>
          <w:szCs w:val="24"/>
        </w:rPr>
        <w:t xml:space="preserve"> (Meyer, 2013)</w:t>
      </w:r>
      <w:r w:rsidRPr="00EC7E4A">
        <w:rPr>
          <w:rFonts w:ascii="Times New Roman" w:hAnsi="Times New Roman"/>
          <w:sz w:val="24"/>
          <w:szCs w:val="24"/>
        </w:rPr>
        <w:t>. Mismas que llegarán al país, por cierto, a operar en unas condiciones laborales casi ideales en las que el SNTPRM habrá cedido en todo al adelgazamiento contractual que se le impone y en donde todo indica que las nuevas compañías podrán contar con los servicios del sindicalismo de protección patronal característico del panorama laboral mexicano</w:t>
      </w:r>
      <w:r w:rsidR="00436E43">
        <w:rPr>
          <w:rFonts w:ascii="Times New Roman" w:hAnsi="Times New Roman"/>
          <w:sz w:val="24"/>
          <w:szCs w:val="24"/>
        </w:rPr>
        <w:t xml:space="preserve"> (Bensusán et al, 2007)</w:t>
      </w:r>
      <w:r w:rsidRPr="00EC7E4A">
        <w:rPr>
          <w:rFonts w:ascii="Times New Roman" w:hAnsi="Times New Roman"/>
          <w:sz w:val="24"/>
          <w:szCs w:val="24"/>
        </w:rPr>
        <w:t>.</w:t>
      </w:r>
    </w:p>
    <w:p w:rsidR="00322952" w:rsidRPr="00EC7E4A" w:rsidRDefault="00322952" w:rsidP="00642948">
      <w:pPr>
        <w:spacing w:after="0" w:line="360" w:lineRule="auto"/>
        <w:jc w:val="both"/>
        <w:rPr>
          <w:rFonts w:ascii="Times New Roman" w:hAnsi="Times New Roman"/>
          <w:sz w:val="24"/>
          <w:szCs w:val="24"/>
        </w:rPr>
      </w:pPr>
      <w:r w:rsidRPr="00EC7E4A">
        <w:rPr>
          <w:rFonts w:ascii="Times New Roman" w:hAnsi="Times New Roman"/>
          <w:sz w:val="24"/>
          <w:szCs w:val="24"/>
        </w:rPr>
        <w:tab/>
        <w:t xml:space="preserve">Pero ¿qué ha pasado con la capacidad generadora de divisas del petróleo mexicano en los veinte años del TLCAN? El término </w:t>
      </w:r>
      <w:r w:rsidRPr="00EC7E4A">
        <w:rPr>
          <w:rFonts w:ascii="Times New Roman" w:hAnsi="Times New Roman"/>
          <w:i/>
          <w:sz w:val="24"/>
          <w:szCs w:val="24"/>
        </w:rPr>
        <w:t>abatimiento</w:t>
      </w:r>
      <w:r w:rsidRPr="00EC7E4A">
        <w:rPr>
          <w:rFonts w:ascii="Times New Roman" w:hAnsi="Times New Roman"/>
          <w:sz w:val="24"/>
          <w:szCs w:val="24"/>
        </w:rPr>
        <w:t xml:space="preserve"> parece ser el más indicado para describir la situación. Como puede v</w:t>
      </w:r>
      <w:r w:rsidR="00B07409">
        <w:rPr>
          <w:rFonts w:ascii="Times New Roman" w:hAnsi="Times New Roman"/>
          <w:sz w:val="24"/>
          <w:szCs w:val="24"/>
        </w:rPr>
        <w:t>erse en el sintético Cuadro # 4</w:t>
      </w:r>
      <w:r w:rsidRPr="00EC7E4A">
        <w:rPr>
          <w:rFonts w:ascii="Times New Roman" w:hAnsi="Times New Roman"/>
          <w:sz w:val="24"/>
          <w:szCs w:val="24"/>
        </w:rPr>
        <w:t>, las importaciones de México crecen tres veces má</w:t>
      </w:r>
      <w:r>
        <w:rPr>
          <w:rFonts w:ascii="Times New Roman" w:hAnsi="Times New Roman"/>
          <w:sz w:val="24"/>
          <w:szCs w:val="24"/>
        </w:rPr>
        <w:t>s que las exportaciones (1,568% contra 550</w:t>
      </w:r>
      <w:r w:rsidRPr="00EC7E4A">
        <w:rPr>
          <w:rFonts w:ascii="Times New Roman" w:hAnsi="Times New Roman"/>
          <w:sz w:val="24"/>
          <w:szCs w:val="24"/>
        </w:rPr>
        <w:t xml:space="preserve">%), entre 1994 y </w:t>
      </w:r>
      <w:r w:rsidRPr="00EC7E4A">
        <w:rPr>
          <w:rFonts w:ascii="Times New Roman" w:hAnsi="Times New Roman"/>
          <w:sz w:val="24"/>
          <w:szCs w:val="24"/>
        </w:rPr>
        <w:lastRenderedPageBreak/>
        <w:t>2013. De importar el país sólo la tercera parte de lo que exportaba (en valor), pasa a importar en el último año el equivalente al 90% de sus exportaciones</w:t>
      </w:r>
    </w:p>
    <w:p w:rsidR="00322952" w:rsidRPr="00EC7E4A" w:rsidRDefault="00322952" w:rsidP="00C27971">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4"/>
        <w:gridCol w:w="2245"/>
        <w:gridCol w:w="2245"/>
      </w:tblGrid>
      <w:tr w:rsidR="00322952" w:rsidRPr="00EC7E4A" w:rsidTr="009371E6">
        <w:tc>
          <w:tcPr>
            <w:tcW w:w="6734" w:type="dxa"/>
            <w:gridSpan w:val="3"/>
          </w:tcPr>
          <w:p w:rsidR="00C27971" w:rsidRPr="003D1728" w:rsidRDefault="00C27971" w:rsidP="00C27971">
            <w:pPr>
              <w:spacing w:after="0" w:line="240" w:lineRule="auto"/>
              <w:jc w:val="center"/>
              <w:rPr>
                <w:rFonts w:ascii="Times New Roman" w:hAnsi="Times New Roman"/>
                <w:b/>
                <w:sz w:val="24"/>
                <w:szCs w:val="24"/>
              </w:rPr>
            </w:pPr>
            <w:r w:rsidRPr="003D1728">
              <w:rPr>
                <w:rFonts w:ascii="Times New Roman" w:hAnsi="Times New Roman"/>
                <w:b/>
                <w:sz w:val="24"/>
                <w:szCs w:val="24"/>
              </w:rPr>
              <w:t>C</w:t>
            </w:r>
            <w:r w:rsidR="00B07409">
              <w:rPr>
                <w:rFonts w:ascii="Times New Roman" w:hAnsi="Times New Roman"/>
                <w:b/>
                <w:sz w:val="24"/>
                <w:szCs w:val="24"/>
              </w:rPr>
              <w:t>uadro</w:t>
            </w:r>
            <w:r w:rsidRPr="003D1728">
              <w:rPr>
                <w:rFonts w:ascii="Times New Roman" w:hAnsi="Times New Roman"/>
                <w:b/>
                <w:sz w:val="24"/>
                <w:szCs w:val="24"/>
              </w:rPr>
              <w:t xml:space="preserve"> # </w:t>
            </w:r>
            <w:r w:rsidR="00C400BE" w:rsidRPr="003D1728">
              <w:rPr>
                <w:rFonts w:ascii="Times New Roman" w:hAnsi="Times New Roman"/>
                <w:b/>
                <w:sz w:val="24"/>
                <w:szCs w:val="24"/>
              </w:rPr>
              <w:t>4</w:t>
            </w:r>
          </w:p>
          <w:p w:rsidR="00C27971" w:rsidRPr="00EC7E4A" w:rsidRDefault="00C27971" w:rsidP="00C27971">
            <w:pPr>
              <w:spacing w:after="0" w:line="240" w:lineRule="auto"/>
              <w:jc w:val="center"/>
              <w:rPr>
                <w:rFonts w:ascii="Times New Roman" w:hAnsi="Times New Roman"/>
                <w:sz w:val="24"/>
                <w:szCs w:val="24"/>
              </w:rPr>
            </w:pPr>
            <w:r w:rsidRPr="00EC7E4A">
              <w:rPr>
                <w:rFonts w:ascii="Times New Roman" w:hAnsi="Times New Roman"/>
                <w:sz w:val="24"/>
                <w:szCs w:val="24"/>
              </w:rPr>
              <w:t>MÉXICO, EXPORTACIONES E IMPORTACIONES DE PRODUCTOS PETROLEROS, 1994 Y 2013</w:t>
            </w:r>
          </w:p>
          <w:p w:rsidR="00322952" w:rsidRPr="00EC7E4A" w:rsidRDefault="00C27971" w:rsidP="00097177">
            <w:pPr>
              <w:spacing w:after="0" w:line="360" w:lineRule="auto"/>
              <w:jc w:val="center"/>
              <w:rPr>
                <w:rFonts w:ascii="Times New Roman" w:hAnsi="Times New Roman"/>
                <w:sz w:val="24"/>
                <w:szCs w:val="24"/>
              </w:rPr>
            </w:pPr>
            <w:r w:rsidRPr="00EC7E4A">
              <w:rPr>
                <w:rFonts w:ascii="Times New Roman" w:hAnsi="Times New Roman"/>
                <w:sz w:val="24"/>
                <w:szCs w:val="24"/>
              </w:rPr>
              <w:t>(</w:t>
            </w:r>
            <w:r w:rsidR="00097177">
              <w:rPr>
                <w:rFonts w:ascii="Times New Roman" w:hAnsi="Times New Roman"/>
                <w:sz w:val="24"/>
                <w:szCs w:val="24"/>
              </w:rPr>
              <w:t>mmd</w:t>
            </w:r>
            <w:r w:rsidRPr="00EC7E4A">
              <w:rPr>
                <w:rFonts w:ascii="Times New Roman" w:hAnsi="Times New Roman"/>
                <w:sz w:val="24"/>
                <w:szCs w:val="24"/>
              </w:rPr>
              <w:t>)</w:t>
            </w:r>
          </w:p>
        </w:tc>
      </w:tr>
      <w:tr w:rsidR="00322952" w:rsidRPr="00EC7E4A" w:rsidTr="009371E6">
        <w:tc>
          <w:tcPr>
            <w:tcW w:w="2244" w:type="dxa"/>
          </w:tcPr>
          <w:p w:rsidR="00322952" w:rsidRPr="00EC7E4A" w:rsidRDefault="00322952" w:rsidP="00642948">
            <w:pPr>
              <w:spacing w:after="0" w:line="360" w:lineRule="auto"/>
              <w:jc w:val="center"/>
              <w:rPr>
                <w:rFonts w:ascii="Times New Roman" w:hAnsi="Times New Roman"/>
                <w:sz w:val="24"/>
                <w:szCs w:val="24"/>
              </w:rPr>
            </w:pPr>
            <w:r w:rsidRPr="00EC7E4A">
              <w:rPr>
                <w:rFonts w:ascii="Times New Roman" w:hAnsi="Times New Roman"/>
                <w:sz w:val="24"/>
                <w:szCs w:val="24"/>
              </w:rPr>
              <w:t>AÑO</w:t>
            </w:r>
          </w:p>
        </w:tc>
        <w:tc>
          <w:tcPr>
            <w:tcW w:w="2245" w:type="dxa"/>
          </w:tcPr>
          <w:p w:rsidR="00322952" w:rsidRPr="00EC7E4A" w:rsidRDefault="00322952" w:rsidP="00642948">
            <w:pPr>
              <w:spacing w:after="0" w:line="360" w:lineRule="auto"/>
              <w:jc w:val="center"/>
              <w:rPr>
                <w:rFonts w:ascii="Times New Roman" w:hAnsi="Times New Roman"/>
                <w:sz w:val="24"/>
                <w:szCs w:val="24"/>
              </w:rPr>
            </w:pPr>
            <w:r w:rsidRPr="00EC7E4A">
              <w:rPr>
                <w:rFonts w:ascii="Times New Roman" w:hAnsi="Times New Roman"/>
                <w:sz w:val="24"/>
                <w:szCs w:val="24"/>
              </w:rPr>
              <w:t>EXPORTACIONES</w:t>
            </w:r>
          </w:p>
        </w:tc>
        <w:tc>
          <w:tcPr>
            <w:tcW w:w="2245" w:type="dxa"/>
          </w:tcPr>
          <w:p w:rsidR="00322952" w:rsidRPr="00EC7E4A" w:rsidRDefault="00322952" w:rsidP="00642948">
            <w:pPr>
              <w:spacing w:after="0" w:line="360" w:lineRule="auto"/>
              <w:jc w:val="center"/>
              <w:rPr>
                <w:rFonts w:ascii="Times New Roman" w:hAnsi="Times New Roman"/>
                <w:sz w:val="24"/>
                <w:szCs w:val="24"/>
              </w:rPr>
            </w:pPr>
            <w:r w:rsidRPr="00EC7E4A">
              <w:rPr>
                <w:rFonts w:ascii="Times New Roman" w:hAnsi="Times New Roman"/>
                <w:sz w:val="24"/>
                <w:szCs w:val="24"/>
              </w:rPr>
              <w:t>IMPORTACIONES</w:t>
            </w:r>
          </w:p>
        </w:tc>
      </w:tr>
      <w:tr w:rsidR="00322952" w:rsidRPr="00EC7E4A" w:rsidTr="009371E6">
        <w:tc>
          <w:tcPr>
            <w:tcW w:w="2244" w:type="dxa"/>
          </w:tcPr>
          <w:p w:rsidR="00322952" w:rsidRPr="00EC7E4A" w:rsidRDefault="00322952" w:rsidP="00642948">
            <w:pPr>
              <w:spacing w:after="0" w:line="360" w:lineRule="auto"/>
              <w:jc w:val="center"/>
              <w:rPr>
                <w:rFonts w:ascii="Times New Roman" w:hAnsi="Times New Roman"/>
                <w:sz w:val="24"/>
                <w:szCs w:val="24"/>
              </w:rPr>
            </w:pPr>
            <w:r w:rsidRPr="00EC7E4A">
              <w:rPr>
                <w:rFonts w:ascii="Times New Roman" w:hAnsi="Times New Roman"/>
                <w:sz w:val="24"/>
                <w:szCs w:val="24"/>
              </w:rPr>
              <w:t>1994</w:t>
            </w:r>
          </w:p>
        </w:tc>
        <w:tc>
          <w:tcPr>
            <w:tcW w:w="2245" w:type="dxa"/>
          </w:tcPr>
          <w:p w:rsidR="00322952" w:rsidRPr="00EC7E4A" w:rsidRDefault="00097177" w:rsidP="00642948">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7.</w:t>
            </w:r>
            <w:r w:rsidR="00322952" w:rsidRPr="00EC7E4A">
              <w:rPr>
                <w:rFonts w:ascii="Times New Roman" w:eastAsia="Times New Roman" w:hAnsi="Times New Roman"/>
                <w:sz w:val="24"/>
                <w:szCs w:val="24"/>
              </w:rPr>
              <w:t>6</w:t>
            </w:r>
            <w:r>
              <w:rPr>
                <w:rFonts w:ascii="Times New Roman" w:eastAsia="Times New Roman" w:hAnsi="Times New Roman"/>
                <w:sz w:val="24"/>
                <w:szCs w:val="24"/>
              </w:rPr>
              <w:t>2</w:t>
            </w:r>
          </w:p>
        </w:tc>
        <w:tc>
          <w:tcPr>
            <w:tcW w:w="2245" w:type="dxa"/>
          </w:tcPr>
          <w:p w:rsidR="00322952" w:rsidRPr="00EC7E4A" w:rsidRDefault="00097177" w:rsidP="00642948">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322952" w:rsidRPr="00EC7E4A">
              <w:rPr>
                <w:rFonts w:ascii="Times New Roman" w:eastAsia="Times New Roman" w:hAnsi="Times New Roman"/>
                <w:sz w:val="24"/>
                <w:szCs w:val="24"/>
              </w:rPr>
              <w:t>45</w:t>
            </w:r>
          </w:p>
        </w:tc>
      </w:tr>
      <w:tr w:rsidR="00322952" w:rsidRPr="00EC7E4A" w:rsidTr="009371E6">
        <w:tc>
          <w:tcPr>
            <w:tcW w:w="2244" w:type="dxa"/>
          </w:tcPr>
          <w:p w:rsidR="00322952" w:rsidRPr="00EC7E4A" w:rsidRDefault="00322952" w:rsidP="00642948">
            <w:pPr>
              <w:spacing w:after="0" w:line="360" w:lineRule="auto"/>
              <w:jc w:val="center"/>
              <w:rPr>
                <w:rFonts w:ascii="Times New Roman" w:hAnsi="Times New Roman"/>
                <w:sz w:val="24"/>
                <w:szCs w:val="24"/>
              </w:rPr>
            </w:pPr>
            <w:r w:rsidRPr="00EC7E4A">
              <w:rPr>
                <w:rFonts w:ascii="Times New Roman" w:hAnsi="Times New Roman"/>
                <w:sz w:val="24"/>
                <w:szCs w:val="24"/>
              </w:rPr>
              <w:t>2013</w:t>
            </w:r>
          </w:p>
        </w:tc>
        <w:tc>
          <w:tcPr>
            <w:tcW w:w="2245" w:type="dxa"/>
          </w:tcPr>
          <w:p w:rsidR="00322952" w:rsidRPr="00EC7E4A" w:rsidRDefault="00322952" w:rsidP="00097177">
            <w:pPr>
              <w:spacing w:after="0" w:line="360" w:lineRule="auto"/>
              <w:jc w:val="center"/>
              <w:rPr>
                <w:rFonts w:ascii="Times New Roman" w:eastAsia="Times New Roman" w:hAnsi="Times New Roman"/>
                <w:sz w:val="24"/>
                <w:szCs w:val="24"/>
              </w:rPr>
            </w:pPr>
            <w:r w:rsidRPr="00EC7E4A">
              <w:rPr>
                <w:rFonts w:ascii="Times New Roman" w:eastAsia="Times New Roman" w:hAnsi="Times New Roman"/>
                <w:sz w:val="24"/>
                <w:szCs w:val="24"/>
              </w:rPr>
              <w:t>49</w:t>
            </w:r>
            <w:r w:rsidR="00097177">
              <w:rPr>
                <w:rFonts w:ascii="Times New Roman" w:eastAsia="Times New Roman" w:hAnsi="Times New Roman"/>
                <w:sz w:val="24"/>
                <w:szCs w:val="24"/>
              </w:rPr>
              <w:t>.50</w:t>
            </w:r>
          </w:p>
        </w:tc>
        <w:tc>
          <w:tcPr>
            <w:tcW w:w="2245" w:type="dxa"/>
          </w:tcPr>
          <w:p w:rsidR="00322952" w:rsidRPr="00EC7E4A" w:rsidRDefault="00322952" w:rsidP="00097177">
            <w:pPr>
              <w:spacing w:after="0" w:line="360" w:lineRule="auto"/>
              <w:jc w:val="center"/>
              <w:rPr>
                <w:rFonts w:ascii="Times New Roman" w:eastAsia="Times New Roman" w:hAnsi="Times New Roman"/>
                <w:sz w:val="24"/>
                <w:szCs w:val="24"/>
              </w:rPr>
            </w:pPr>
            <w:r w:rsidRPr="00EC7E4A">
              <w:rPr>
                <w:rFonts w:ascii="Times New Roman" w:eastAsia="Times New Roman" w:hAnsi="Times New Roman"/>
                <w:sz w:val="24"/>
                <w:szCs w:val="24"/>
              </w:rPr>
              <w:t>40</w:t>
            </w:r>
            <w:r w:rsidR="00097177">
              <w:rPr>
                <w:rFonts w:ascii="Times New Roman" w:eastAsia="Times New Roman" w:hAnsi="Times New Roman"/>
                <w:sz w:val="24"/>
                <w:szCs w:val="24"/>
              </w:rPr>
              <w:t>.</w:t>
            </w:r>
            <w:r w:rsidRPr="00EC7E4A">
              <w:rPr>
                <w:rFonts w:ascii="Times New Roman" w:eastAsia="Times New Roman" w:hAnsi="Times New Roman"/>
                <w:sz w:val="24"/>
                <w:szCs w:val="24"/>
              </w:rPr>
              <w:t>8</w:t>
            </w:r>
            <w:r w:rsidR="00097177">
              <w:rPr>
                <w:rFonts w:ascii="Times New Roman" w:eastAsia="Times New Roman" w:hAnsi="Times New Roman"/>
                <w:sz w:val="24"/>
                <w:szCs w:val="24"/>
              </w:rPr>
              <w:t>6</w:t>
            </w:r>
          </w:p>
        </w:tc>
      </w:tr>
      <w:tr w:rsidR="00322952" w:rsidRPr="00EC7E4A" w:rsidTr="009371E6">
        <w:tc>
          <w:tcPr>
            <w:tcW w:w="2244" w:type="dxa"/>
            <w:vMerge w:val="restart"/>
          </w:tcPr>
          <w:p w:rsidR="00322952" w:rsidRPr="00EC7E4A" w:rsidRDefault="00322952" w:rsidP="00642948">
            <w:pPr>
              <w:spacing w:after="0" w:line="360" w:lineRule="auto"/>
              <w:jc w:val="center"/>
              <w:rPr>
                <w:rFonts w:ascii="Times New Roman" w:hAnsi="Times New Roman"/>
                <w:sz w:val="24"/>
                <w:szCs w:val="24"/>
              </w:rPr>
            </w:pPr>
            <w:r w:rsidRPr="00EC7E4A">
              <w:rPr>
                <w:rFonts w:ascii="Times New Roman" w:hAnsi="Times New Roman"/>
                <w:sz w:val="24"/>
                <w:szCs w:val="24"/>
              </w:rPr>
              <w:t>crecimiento</w:t>
            </w:r>
          </w:p>
        </w:tc>
        <w:tc>
          <w:tcPr>
            <w:tcW w:w="2245" w:type="dxa"/>
          </w:tcPr>
          <w:p w:rsidR="00322952" w:rsidRPr="00EC7E4A" w:rsidRDefault="00097177" w:rsidP="00642948">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41.</w:t>
            </w:r>
            <w:r w:rsidR="00322952" w:rsidRPr="00EC7E4A">
              <w:rPr>
                <w:rFonts w:ascii="Times New Roman" w:eastAsia="Times New Roman" w:hAnsi="Times New Roman"/>
                <w:sz w:val="24"/>
                <w:szCs w:val="24"/>
              </w:rPr>
              <w:t>87</w:t>
            </w:r>
          </w:p>
        </w:tc>
        <w:tc>
          <w:tcPr>
            <w:tcW w:w="2245" w:type="dxa"/>
          </w:tcPr>
          <w:p w:rsidR="00322952" w:rsidRPr="00EC7E4A" w:rsidRDefault="00097177" w:rsidP="00642948">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38.</w:t>
            </w:r>
            <w:r w:rsidR="00322952" w:rsidRPr="00EC7E4A">
              <w:rPr>
                <w:rFonts w:ascii="Times New Roman" w:eastAsia="Times New Roman" w:hAnsi="Times New Roman"/>
                <w:sz w:val="24"/>
                <w:szCs w:val="24"/>
              </w:rPr>
              <w:t>4</w:t>
            </w:r>
            <w:r>
              <w:rPr>
                <w:rFonts w:ascii="Times New Roman" w:eastAsia="Times New Roman" w:hAnsi="Times New Roman"/>
                <w:sz w:val="24"/>
                <w:szCs w:val="24"/>
              </w:rPr>
              <w:t>2</w:t>
            </w:r>
          </w:p>
        </w:tc>
      </w:tr>
      <w:tr w:rsidR="00322952" w:rsidRPr="00EC7E4A" w:rsidTr="009371E6">
        <w:tc>
          <w:tcPr>
            <w:tcW w:w="2244" w:type="dxa"/>
            <w:vMerge/>
          </w:tcPr>
          <w:p w:rsidR="00322952" w:rsidRPr="00EC7E4A" w:rsidRDefault="00322952" w:rsidP="00642948">
            <w:pPr>
              <w:spacing w:after="0" w:line="360" w:lineRule="auto"/>
              <w:jc w:val="center"/>
              <w:rPr>
                <w:rFonts w:ascii="Times New Roman" w:hAnsi="Times New Roman"/>
                <w:sz w:val="24"/>
                <w:szCs w:val="24"/>
              </w:rPr>
            </w:pPr>
          </w:p>
        </w:tc>
        <w:tc>
          <w:tcPr>
            <w:tcW w:w="2245" w:type="dxa"/>
          </w:tcPr>
          <w:p w:rsidR="00322952" w:rsidRPr="00EC7E4A" w:rsidRDefault="00322952" w:rsidP="00642948">
            <w:pPr>
              <w:spacing w:after="0" w:line="360" w:lineRule="auto"/>
              <w:jc w:val="center"/>
              <w:rPr>
                <w:rFonts w:ascii="Times New Roman" w:eastAsia="Times New Roman" w:hAnsi="Times New Roman"/>
                <w:sz w:val="24"/>
                <w:szCs w:val="24"/>
              </w:rPr>
            </w:pPr>
            <w:r w:rsidRPr="00EC7E4A">
              <w:rPr>
                <w:rFonts w:ascii="Times New Roman" w:eastAsia="Times New Roman" w:hAnsi="Times New Roman"/>
                <w:sz w:val="24"/>
                <w:szCs w:val="24"/>
              </w:rPr>
              <w:t>549.6%</w:t>
            </w:r>
          </w:p>
        </w:tc>
        <w:tc>
          <w:tcPr>
            <w:tcW w:w="2245" w:type="dxa"/>
          </w:tcPr>
          <w:p w:rsidR="00322952" w:rsidRPr="00EC7E4A" w:rsidRDefault="00322952" w:rsidP="00642948">
            <w:pPr>
              <w:spacing w:after="0" w:line="360" w:lineRule="auto"/>
              <w:jc w:val="center"/>
              <w:rPr>
                <w:rFonts w:ascii="Times New Roman" w:eastAsia="Times New Roman" w:hAnsi="Times New Roman"/>
                <w:sz w:val="24"/>
                <w:szCs w:val="24"/>
              </w:rPr>
            </w:pPr>
            <w:r w:rsidRPr="00EC7E4A">
              <w:rPr>
                <w:rFonts w:ascii="Times New Roman" w:eastAsia="Times New Roman" w:hAnsi="Times New Roman"/>
                <w:sz w:val="24"/>
                <w:szCs w:val="24"/>
              </w:rPr>
              <w:t>1567.6%</w:t>
            </w:r>
          </w:p>
        </w:tc>
      </w:tr>
      <w:tr w:rsidR="00322952" w:rsidRPr="00EC7E4A" w:rsidTr="009371E6">
        <w:tc>
          <w:tcPr>
            <w:tcW w:w="6734" w:type="dxa"/>
            <w:gridSpan w:val="3"/>
          </w:tcPr>
          <w:p w:rsidR="00322952" w:rsidRPr="00EC7E4A" w:rsidRDefault="00C27971" w:rsidP="00642948">
            <w:pPr>
              <w:spacing w:after="0" w:line="360" w:lineRule="auto"/>
              <w:rPr>
                <w:rFonts w:ascii="Times New Roman" w:eastAsia="Times New Roman" w:hAnsi="Times New Roman"/>
                <w:sz w:val="24"/>
                <w:szCs w:val="24"/>
              </w:rPr>
            </w:pPr>
            <w:r w:rsidRPr="00C27971">
              <w:rPr>
                <w:rFonts w:ascii="Times New Roman" w:eastAsia="Times New Roman" w:hAnsi="Times New Roman"/>
                <w:sz w:val="20"/>
                <w:szCs w:val="20"/>
              </w:rPr>
              <w:t>Fuente:</w:t>
            </w:r>
            <w:r w:rsidR="00F62FB9">
              <w:rPr>
                <w:rFonts w:ascii="Times New Roman" w:eastAsia="Times New Roman" w:hAnsi="Times New Roman"/>
                <w:sz w:val="20"/>
                <w:szCs w:val="20"/>
              </w:rPr>
              <w:t xml:space="preserve"> Gráfica # 3</w:t>
            </w:r>
          </w:p>
        </w:tc>
      </w:tr>
    </w:tbl>
    <w:p w:rsidR="00322952" w:rsidRPr="00C27971" w:rsidRDefault="00322952" w:rsidP="00C27971">
      <w:pPr>
        <w:spacing w:after="0" w:line="240" w:lineRule="auto"/>
        <w:rPr>
          <w:rFonts w:ascii="Times New Roman" w:hAnsi="Times New Roman"/>
          <w:sz w:val="20"/>
          <w:szCs w:val="20"/>
        </w:rPr>
      </w:pPr>
    </w:p>
    <w:p w:rsidR="00322952" w:rsidRPr="00EC7E4A" w:rsidRDefault="00322952" w:rsidP="00642948">
      <w:pPr>
        <w:spacing w:after="0" w:line="360" w:lineRule="auto"/>
        <w:jc w:val="both"/>
        <w:rPr>
          <w:rFonts w:ascii="Times New Roman" w:hAnsi="Times New Roman"/>
          <w:sz w:val="24"/>
          <w:szCs w:val="24"/>
        </w:rPr>
      </w:pPr>
      <w:r w:rsidRPr="00EC7E4A">
        <w:rPr>
          <w:rFonts w:ascii="Times New Roman" w:hAnsi="Times New Roman"/>
          <w:sz w:val="24"/>
          <w:szCs w:val="24"/>
        </w:rPr>
        <w:t>La desproporción entre el crecimiento de las importaciones petroleras en relación a las exportaciones puede verse también con claridad si se observa el comportamiento del índice de crecimiento de ambos rubros y se les compara con el del saldo del intercambio de productos petroleros. Si se considera el año de 1994 como igual a 100, se observa que las exportaciones llegan a un nivel igual a 650 en 2013, mientras que las importaciones alcanzan uno igual a 1,668; en tanto que el saldo en la balanza iguala sólo los 167 puntos.</w:t>
      </w: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tab/>
      </w:r>
      <w:r w:rsidRPr="00EC7E4A">
        <w:rPr>
          <w:rFonts w:ascii="Times New Roman" w:hAnsi="Times New Roman"/>
          <w:sz w:val="24"/>
          <w:szCs w:val="24"/>
        </w:rPr>
        <w:t xml:space="preserve">Como es evidente, el desenlace de veinte años de políticas neoliberales en el sector petrolero, ha llevado a México a desarrollar una fuerte dependencia de las importaciones de productos petroleros procesados de alto costo, financiados de manera cada vez más precaria por la exportación de crudos, cuyos precios en el mercado mundial son mucho más volátiles que los de los refinados, como </w:t>
      </w:r>
      <w:r w:rsidR="00063069">
        <w:rPr>
          <w:rFonts w:ascii="Times New Roman" w:hAnsi="Times New Roman"/>
          <w:sz w:val="24"/>
          <w:szCs w:val="24"/>
        </w:rPr>
        <w:t>ha podido</w:t>
      </w:r>
      <w:r w:rsidRPr="00EC7E4A">
        <w:rPr>
          <w:rFonts w:ascii="Times New Roman" w:hAnsi="Times New Roman"/>
          <w:sz w:val="24"/>
          <w:szCs w:val="24"/>
        </w:rPr>
        <w:t xml:space="preserve"> en la crisis petrolera que arranca en 2014. </w:t>
      </w:r>
    </w:p>
    <w:p w:rsidR="00322952" w:rsidRPr="00EC7E4A" w:rsidRDefault="00322952" w:rsidP="00642948">
      <w:pPr>
        <w:spacing w:after="0" w:line="360" w:lineRule="auto"/>
        <w:jc w:val="both"/>
        <w:rPr>
          <w:rFonts w:ascii="Times New Roman" w:hAnsi="Times New Roman"/>
          <w:sz w:val="24"/>
          <w:szCs w:val="24"/>
        </w:rPr>
      </w:pPr>
      <w:r>
        <w:rPr>
          <w:rFonts w:ascii="Times New Roman" w:hAnsi="Times New Roman"/>
          <w:sz w:val="24"/>
          <w:szCs w:val="24"/>
        </w:rPr>
        <w:tab/>
      </w:r>
      <w:r w:rsidRPr="00EC7E4A">
        <w:rPr>
          <w:rFonts w:ascii="Times New Roman" w:hAnsi="Times New Roman"/>
          <w:sz w:val="24"/>
          <w:szCs w:val="24"/>
        </w:rPr>
        <w:t>Esta mayor debilidad relativa puede observarse si se compara el comportamiento de las exportaciones de crudo de México con sus importaciones de refinados en los periodos de expansión económica mundial (hasta antes de 2008) con el que tienen en los de crisis (2008-2010) y recuperación (de 2011 en adelante). En especial, vale la pena detenerse en el periodo de crecimiento económico que antecede a la crisis que arranca en el tercer trimestre de 2007 en los EUA y cuyos efectos en el mercado petrolero se resienten sobre todo en 2009 y 2010; así como en los años subsecuentes de recuperación incierta de la economía.</w:t>
      </w: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EC7E4A">
        <w:rPr>
          <w:rFonts w:ascii="Times New Roman" w:hAnsi="Times New Roman"/>
          <w:sz w:val="24"/>
          <w:szCs w:val="24"/>
        </w:rPr>
        <w:t xml:space="preserve">Como puede verse en </w:t>
      </w:r>
      <w:r w:rsidR="003F099D">
        <w:rPr>
          <w:rFonts w:ascii="Times New Roman" w:hAnsi="Times New Roman"/>
          <w:sz w:val="24"/>
          <w:szCs w:val="24"/>
        </w:rPr>
        <w:t xml:space="preserve">la </w:t>
      </w:r>
      <w:r w:rsidR="003F099D" w:rsidRPr="00DF1A3D">
        <w:rPr>
          <w:rFonts w:ascii="Times New Roman" w:hAnsi="Times New Roman"/>
          <w:sz w:val="24"/>
          <w:szCs w:val="24"/>
        </w:rPr>
        <w:t xml:space="preserve">gráfica # </w:t>
      </w:r>
      <w:r w:rsidR="00DF1A3D" w:rsidRPr="00DF1A3D">
        <w:rPr>
          <w:rFonts w:ascii="Times New Roman" w:hAnsi="Times New Roman"/>
          <w:sz w:val="24"/>
          <w:szCs w:val="24"/>
        </w:rPr>
        <w:t>3</w:t>
      </w:r>
      <w:r w:rsidRPr="00EC7E4A">
        <w:rPr>
          <w:rFonts w:ascii="Times New Roman" w:hAnsi="Times New Roman"/>
          <w:sz w:val="24"/>
          <w:szCs w:val="24"/>
        </w:rPr>
        <w:t>, a lo largo del pe</w:t>
      </w:r>
      <w:r w:rsidR="003F099D">
        <w:rPr>
          <w:rFonts w:ascii="Times New Roman" w:hAnsi="Times New Roman"/>
          <w:sz w:val="24"/>
          <w:szCs w:val="24"/>
        </w:rPr>
        <w:t>riodo que va de 1994 a 2008</w:t>
      </w:r>
      <w:r w:rsidRPr="00EC7E4A">
        <w:rPr>
          <w:rFonts w:ascii="Times New Roman" w:hAnsi="Times New Roman"/>
          <w:sz w:val="24"/>
          <w:szCs w:val="24"/>
        </w:rPr>
        <w:t xml:space="preserve">, las exportaciones de crudo de México tienen una tendencia general al alza, dentro de un comportamiento cíclico que en mucho depende del comportamiento de la economía de los Estados Unidos, el principal importador (leve desaceleración de fines del final de los noventas y principios de los 2000; crecimiento sostenido de los noventa y de dos tercios de los 2000). Pero el ritmo de crecimiento que se observa de 2001 a 2008 es verdaderamente impresionante, al pasar de los 13.19 </w:t>
      </w:r>
      <w:r>
        <w:rPr>
          <w:rFonts w:ascii="Times New Roman" w:hAnsi="Times New Roman"/>
          <w:sz w:val="24"/>
          <w:szCs w:val="24"/>
        </w:rPr>
        <w:t xml:space="preserve">mmd </w:t>
      </w:r>
      <w:r w:rsidRPr="00EC7E4A">
        <w:rPr>
          <w:rFonts w:ascii="Times New Roman" w:hAnsi="Times New Roman"/>
          <w:sz w:val="24"/>
          <w:szCs w:val="24"/>
        </w:rPr>
        <w:t xml:space="preserve">a los 50.64 mmd (de 173 a 665 en el índice de 1994=100). </w:t>
      </w:r>
    </w:p>
    <w:p w:rsidR="00D41733" w:rsidRDefault="00D41733" w:rsidP="00642948">
      <w:pPr>
        <w:spacing w:after="0" w:line="360" w:lineRule="auto"/>
        <w:jc w:val="both"/>
        <w:rPr>
          <w:rFonts w:ascii="Times New Roman" w:hAnsi="Times New Roman"/>
          <w:sz w:val="24"/>
          <w:szCs w:val="24"/>
        </w:rPr>
      </w:pPr>
    </w:p>
    <w:tbl>
      <w:tblPr>
        <w:tblStyle w:val="Tablaconcuadrcula"/>
        <w:tblW w:w="0" w:type="auto"/>
        <w:tblLook w:val="04A0"/>
      </w:tblPr>
      <w:tblGrid>
        <w:gridCol w:w="9054"/>
      </w:tblGrid>
      <w:tr w:rsidR="00D41733" w:rsidTr="00D41733">
        <w:tc>
          <w:tcPr>
            <w:tcW w:w="9054" w:type="dxa"/>
          </w:tcPr>
          <w:p w:rsidR="00D41733" w:rsidRDefault="00D41733" w:rsidP="0055468D">
            <w:pPr>
              <w:jc w:val="center"/>
              <w:rPr>
                <w:rFonts w:ascii="Times New Roman" w:hAnsi="Times New Roman" w:cs="Times New Roman"/>
                <w:sz w:val="24"/>
                <w:szCs w:val="24"/>
              </w:rPr>
            </w:pPr>
            <w:r>
              <w:rPr>
                <w:rFonts w:ascii="Times New Roman" w:hAnsi="Times New Roman" w:cs="Times New Roman"/>
                <w:sz w:val="24"/>
                <w:szCs w:val="24"/>
              </w:rPr>
              <w:t>GRÁFICA # 3</w:t>
            </w:r>
          </w:p>
          <w:p w:rsidR="00D41733" w:rsidRDefault="00D41733" w:rsidP="00D41733">
            <w:pPr>
              <w:jc w:val="center"/>
              <w:rPr>
                <w:rFonts w:ascii="Times New Roman" w:hAnsi="Times New Roman" w:cs="Times New Roman"/>
                <w:sz w:val="24"/>
                <w:szCs w:val="24"/>
              </w:rPr>
            </w:pPr>
            <w:r>
              <w:rPr>
                <w:rFonts w:ascii="Times New Roman" w:hAnsi="Times New Roman" w:cs="Times New Roman"/>
                <w:sz w:val="24"/>
                <w:szCs w:val="24"/>
              </w:rPr>
              <w:t>MÉXICO, EXPORTACIONES, IMPORTACIONES Y BALANZA PETROLERA, 1994-2013 (mmd)</w:t>
            </w:r>
          </w:p>
        </w:tc>
      </w:tr>
    </w:tbl>
    <w:p w:rsidR="00D41733" w:rsidRDefault="00D41733" w:rsidP="00642948">
      <w:pPr>
        <w:spacing w:after="0" w:line="360" w:lineRule="auto"/>
        <w:jc w:val="both"/>
        <w:rPr>
          <w:rFonts w:ascii="Times New Roman" w:hAnsi="Times New Roman"/>
          <w:sz w:val="24"/>
          <w:szCs w:val="24"/>
        </w:rPr>
      </w:pPr>
      <w:r w:rsidRPr="00D41733">
        <w:rPr>
          <w:rFonts w:ascii="Times New Roman" w:hAnsi="Times New Roman"/>
          <w:noProof/>
          <w:sz w:val="24"/>
          <w:szCs w:val="24"/>
          <w:lang w:eastAsia="es-MX"/>
        </w:rPr>
        <w:drawing>
          <wp:inline distT="0" distB="0" distL="0" distR="0">
            <wp:extent cx="5612130" cy="2725362"/>
            <wp:effectExtent l="19050" t="0" r="26670" b="0"/>
            <wp:docPr id="12"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4971" w:type="pct"/>
        <w:tblCellSpacing w:w="0" w:type="dxa"/>
        <w:shd w:val="clear" w:color="auto" w:fill="FFFFFF"/>
        <w:tblCellMar>
          <w:left w:w="0" w:type="dxa"/>
          <w:right w:w="0" w:type="dxa"/>
        </w:tblCellMar>
        <w:tblLook w:val="04A0"/>
      </w:tblPr>
      <w:tblGrid>
        <w:gridCol w:w="5"/>
        <w:gridCol w:w="8833"/>
      </w:tblGrid>
      <w:tr w:rsidR="00D41733" w:rsidRPr="001E2F0F" w:rsidTr="0055468D">
        <w:trPr>
          <w:tblCellSpacing w:w="0" w:type="dxa"/>
        </w:trPr>
        <w:tc>
          <w:tcPr>
            <w:tcW w:w="45" w:type="dxa"/>
            <w:shd w:val="clear" w:color="auto" w:fill="FFFFFF"/>
            <w:tcMar>
              <w:top w:w="50" w:type="dxa"/>
              <w:left w:w="0" w:type="dxa"/>
              <w:bottom w:w="50" w:type="dxa"/>
              <w:right w:w="0" w:type="dxa"/>
            </w:tcMar>
            <w:vAlign w:val="center"/>
            <w:hideMark/>
          </w:tcPr>
          <w:p w:rsidR="00D41733" w:rsidRPr="001E2F0F" w:rsidRDefault="00D41733" w:rsidP="0055468D">
            <w:pPr>
              <w:spacing w:after="0" w:line="240" w:lineRule="auto"/>
              <w:jc w:val="both"/>
              <w:rPr>
                <w:rFonts w:ascii="Times New Roman" w:hAnsi="Times New Roman" w:cs="Times New Roman"/>
                <w:sz w:val="24"/>
                <w:szCs w:val="24"/>
              </w:rPr>
            </w:pPr>
          </w:p>
        </w:tc>
        <w:tc>
          <w:tcPr>
            <w:tcW w:w="0" w:type="auto"/>
            <w:shd w:val="clear" w:color="auto" w:fill="FFFFFF"/>
            <w:tcMar>
              <w:top w:w="50" w:type="dxa"/>
              <w:left w:w="0" w:type="dxa"/>
              <w:bottom w:w="50" w:type="dxa"/>
              <w:right w:w="0" w:type="dxa"/>
            </w:tcMar>
            <w:vAlign w:val="center"/>
            <w:hideMark/>
          </w:tcPr>
          <w:p w:rsidR="00D41733" w:rsidRPr="001167FD" w:rsidRDefault="00D41733" w:rsidP="0055468D">
            <w:pPr>
              <w:spacing w:after="0" w:line="240" w:lineRule="auto"/>
              <w:jc w:val="both"/>
              <w:rPr>
                <w:rFonts w:ascii="Times New Roman" w:hAnsi="Times New Roman" w:cs="Times New Roman"/>
                <w:sz w:val="20"/>
                <w:szCs w:val="20"/>
              </w:rPr>
            </w:pPr>
            <w:r w:rsidRPr="001167FD">
              <w:rPr>
                <w:rFonts w:ascii="Times New Roman" w:hAnsi="Times New Roman" w:cs="Times New Roman"/>
                <w:sz w:val="20"/>
                <w:szCs w:val="20"/>
              </w:rPr>
              <w:t xml:space="preserve">Fuente: elaboración propia con datos de: Banco de México, Grupo de Trabajo de Estadísticas de Comercio Exterior, integrado por el Banco de México, el INEGI, el Servicio de Administración Tributaria y la Secretaría de Economía. </w:t>
            </w:r>
            <w:hyperlink r:id="rId11" w:history="1">
              <w:r w:rsidRPr="001167FD">
                <w:rPr>
                  <w:rStyle w:val="Hipervnculo"/>
                  <w:rFonts w:ascii="Times New Roman" w:hAnsi="Times New Roman" w:cs="Times New Roman"/>
                  <w:sz w:val="20"/>
                  <w:szCs w:val="20"/>
                </w:rPr>
                <w:t>http://www.banxico.org.mx/SieInternet/consultarDirectorioInternetAction.do?accion=consultarCuadro&amp;idCuadro=CE121&amp;sector=1&amp;locale=es</w:t>
              </w:r>
            </w:hyperlink>
            <w:r w:rsidRPr="001167FD">
              <w:rPr>
                <w:rFonts w:ascii="Times New Roman" w:hAnsi="Times New Roman" w:cs="Times New Roman"/>
                <w:sz w:val="20"/>
                <w:szCs w:val="20"/>
              </w:rPr>
              <w:t xml:space="preserve"> (Última consulta: 14/11/2014)</w:t>
            </w:r>
          </w:p>
          <w:p w:rsidR="00D41733" w:rsidRPr="001E2F0F" w:rsidRDefault="00D41733" w:rsidP="0055468D">
            <w:pPr>
              <w:spacing w:after="0" w:line="240" w:lineRule="auto"/>
              <w:jc w:val="both"/>
              <w:rPr>
                <w:rFonts w:ascii="Times New Roman" w:hAnsi="Times New Roman" w:cs="Times New Roman"/>
                <w:sz w:val="24"/>
                <w:szCs w:val="24"/>
              </w:rPr>
            </w:pPr>
          </w:p>
        </w:tc>
      </w:tr>
    </w:tbl>
    <w:p w:rsidR="00322952" w:rsidRDefault="00322952" w:rsidP="00642948">
      <w:pPr>
        <w:spacing w:after="0" w:line="360" w:lineRule="auto"/>
        <w:jc w:val="both"/>
        <w:rPr>
          <w:rFonts w:ascii="Times New Roman" w:hAnsi="Times New Roman"/>
          <w:sz w:val="24"/>
          <w:szCs w:val="24"/>
        </w:rPr>
      </w:pPr>
      <w:r w:rsidRPr="00EC7E4A">
        <w:rPr>
          <w:rFonts w:ascii="Times New Roman" w:hAnsi="Times New Roman"/>
          <w:sz w:val="24"/>
          <w:szCs w:val="24"/>
        </w:rPr>
        <w:t>Pero es precisamente en esos años cuando las importaciones mexicanas de derivados se disparan como nunca antes en la historia del intercambio, al pasar de sólo 6.8</w:t>
      </w:r>
      <w:r>
        <w:rPr>
          <w:rFonts w:ascii="Times New Roman" w:hAnsi="Times New Roman"/>
          <w:sz w:val="24"/>
          <w:szCs w:val="24"/>
        </w:rPr>
        <w:t xml:space="preserve"> mmd</w:t>
      </w:r>
      <w:r w:rsidRPr="00EC7E4A">
        <w:rPr>
          <w:rFonts w:ascii="Times New Roman" w:hAnsi="Times New Roman"/>
          <w:sz w:val="24"/>
          <w:szCs w:val="24"/>
        </w:rPr>
        <w:t xml:space="preserve">, en 2002, a 35.66 mmd en 2008 (de 277 a 1,039 en dicho índice). O sea, un crecimiento ¡del 424.41%! en ese breve periodo de seis años. Como consecuencia, dentro de ese mismo periodo de auge de las exportaciones mexicanas, el saldo de la balanza petrolera empieza a descender, antes incluso de que la crisis económica se haga presente en el mercado </w:t>
      </w:r>
      <w:r w:rsidRPr="00EC7E4A">
        <w:rPr>
          <w:rFonts w:ascii="Times New Roman" w:hAnsi="Times New Roman"/>
          <w:sz w:val="24"/>
          <w:szCs w:val="24"/>
        </w:rPr>
        <w:lastRenderedPageBreak/>
        <w:t xml:space="preserve">petrolero, a partir de 2009. Así, entre 2006 y 2008, este saldo cae de 19.38 </w:t>
      </w:r>
      <w:r>
        <w:rPr>
          <w:rFonts w:ascii="Times New Roman" w:hAnsi="Times New Roman"/>
          <w:sz w:val="24"/>
          <w:szCs w:val="24"/>
        </w:rPr>
        <w:t xml:space="preserve">mmd </w:t>
      </w:r>
      <w:r w:rsidRPr="00EC7E4A">
        <w:rPr>
          <w:rFonts w:ascii="Times New Roman" w:hAnsi="Times New Roman"/>
          <w:sz w:val="24"/>
          <w:szCs w:val="24"/>
        </w:rPr>
        <w:t>a 14.98 mmd (de 374 a 290, en índice 1994=100).</w:t>
      </w: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tab/>
        <w:t xml:space="preserve">De 2008 a 2009 se presenta una caída brusca tanto de la exportaciones como de las importaciones, pero es ligeramente más pronunciada en las primeras. En tanto que las compras mexicanas bajan de 36 mmd a 20 mmd (de 1455 a 835 en el índice utilizado), las </w:t>
      </w:r>
      <w:r w:rsidR="00847157">
        <w:rPr>
          <w:rFonts w:ascii="Times New Roman" w:hAnsi="Times New Roman"/>
          <w:sz w:val="24"/>
          <w:szCs w:val="24"/>
        </w:rPr>
        <w:t>externas</w:t>
      </w:r>
      <w:r>
        <w:rPr>
          <w:rFonts w:ascii="Times New Roman" w:hAnsi="Times New Roman"/>
          <w:sz w:val="24"/>
          <w:szCs w:val="24"/>
        </w:rPr>
        <w:t xml:space="preserve"> lo hacen de 51 mmd a 31 mmd (de 665 a 405 en ese índice), con lo que el saldo sigue decreciendo, ahora en 5 mmd., para quedar en sólo 10 mmd (201 en el índice), nivel que había tenido en 2003. Esto es, en la crisis, la economía norteamericana</w:t>
      </w:r>
      <w:r w:rsidR="00B57AE3">
        <w:rPr>
          <w:rFonts w:ascii="Times New Roman" w:hAnsi="Times New Roman"/>
          <w:sz w:val="24"/>
          <w:szCs w:val="24"/>
        </w:rPr>
        <w:t>, principal compradora,</w:t>
      </w:r>
      <w:r>
        <w:rPr>
          <w:rFonts w:ascii="Times New Roman" w:hAnsi="Times New Roman"/>
          <w:sz w:val="24"/>
          <w:szCs w:val="24"/>
        </w:rPr>
        <w:t xml:space="preserve"> puede prescindir en mayor medida que la mexicana de las importaciones, debido a su creciente autosuficiencia de crudo, mientras que México no puede mantener su funcionamiento, aun restringido, sin las importaciones de productos refinados.</w:t>
      </w: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tab/>
        <w:t>En los años siguientes, 2010, 2011 y 2012, de incrementos y decrementos</w:t>
      </w:r>
      <w:r w:rsidRPr="00113330">
        <w:rPr>
          <w:rFonts w:ascii="Times New Roman" w:hAnsi="Times New Roman"/>
          <w:sz w:val="24"/>
          <w:szCs w:val="24"/>
        </w:rPr>
        <w:t xml:space="preserve"> </w:t>
      </w:r>
      <w:r>
        <w:rPr>
          <w:rFonts w:ascii="Times New Roman" w:hAnsi="Times New Roman"/>
          <w:sz w:val="24"/>
          <w:szCs w:val="24"/>
        </w:rPr>
        <w:t>moderados en ambos renglones (un promedio anual de 50.3 mmd de exportaciones y uno de 44.7 mmd de importaciones), el saldo mantiene un promedio anual de 12.3 mmd, muy por debajo de su máximo histórico de 19 mmd de 2006.</w:t>
      </w: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tab/>
        <w:t>Es en 2013, justo antes de la reforma energética en México, cuando la brecha entre exportaciones e importaciones se cierra peligrosamente para México, al descender nuevamente las exportaciones, de 53 mmd a 49 mmd, en tanto que las importaciones se mantiene en los 41 mmd, mismo monto de 2012. Ahora, el saldo favorable a México se ha reducido a sólo 9 mmd, nivel apenas superior al de 2002, cuando sólo se exportaban 15 mmd y se importaban 7 mmd. El índice del saldo (1994=100) termina el periodo 1994-2013 en un nivel de únicamente 165, el de las exportaciones en 650 y el de las importaciones en 1,668.</w:t>
      </w:r>
    </w:p>
    <w:p w:rsidR="00322952" w:rsidRDefault="00322952" w:rsidP="00642948">
      <w:pPr>
        <w:spacing w:after="0" w:line="360" w:lineRule="auto"/>
        <w:jc w:val="both"/>
        <w:rPr>
          <w:rFonts w:ascii="Times New Roman" w:hAnsi="Times New Roman"/>
          <w:sz w:val="24"/>
          <w:szCs w:val="24"/>
        </w:rPr>
      </w:pPr>
      <w:r>
        <w:rPr>
          <w:rFonts w:ascii="Times New Roman" w:hAnsi="Times New Roman"/>
          <w:sz w:val="24"/>
          <w:szCs w:val="24"/>
        </w:rPr>
        <w:tab/>
        <w:t>Vale preguntarse ¿valió la pena incrementar tan radicalmente los niveles de exportación en estos años del TLCAN para salir casi a mano con las compras? ¿para importar el 90% del valor de las compras? ¿no hubiera sido más rentable potenciar la capacidad de refinación de México? ¿buscar en serio fuentes alternas de energía? ¿utilizar</w:t>
      </w:r>
      <w:r w:rsidRPr="004C449D">
        <w:rPr>
          <w:rFonts w:ascii="Times New Roman" w:hAnsi="Times New Roman"/>
          <w:sz w:val="24"/>
          <w:szCs w:val="24"/>
        </w:rPr>
        <w:t xml:space="preserve"> </w:t>
      </w:r>
      <w:r>
        <w:rPr>
          <w:rFonts w:ascii="Times New Roman" w:hAnsi="Times New Roman"/>
          <w:sz w:val="24"/>
          <w:szCs w:val="24"/>
        </w:rPr>
        <w:t xml:space="preserve">el petróleo, como quería Cárdenas, como palanca de un desarrollo nacional sólido, que permitiera la creación de empleos dignos en cantidad suficiente como para que no fuera necesaria la exportación masiva de millones de seres vulnerabilizados dispuestos a </w:t>
      </w:r>
      <w:r>
        <w:rPr>
          <w:rFonts w:ascii="Times New Roman" w:hAnsi="Times New Roman"/>
          <w:sz w:val="24"/>
          <w:szCs w:val="24"/>
        </w:rPr>
        <w:lastRenderedPageBreak/>
        <w:t>emplearse en las condiciones más precarias de la economía norteamericana, para poder así mantener a sus hogares con sus remesas?</w:t>
      </w:r>
    </w:p>
    <w:p w:rsidR="00E7776C" w:rsidRDefault="00322952" w:rsidP="00642948">
      <w:pPr>
        <w:spacing w:after="0" w:line="360" w:lineRule="auto"/>
        <w:rPr>
          <w:rFonts w:ascii="Times New Roman" w:hAnsi="Times New Roman"/>
          <w:sz w:val="24"/>
          <w:szCs w:val="24"/>
        </w:rPr>
      </w:pPr>
      <w:r>
        <w:rPr>
          <w:rFonts w:ascii="Times New Roman" w:hAnsi="Times New Roman"/>
          <w:sz w:val="24"/>
          <w:szCs w:val="24"/>
        </w:rPr>
        <w:tab/>
      </w:r>
    </w:p>
    <w:p w:rsidR="00F740BE" w:rsidRDefault="00A843AC" w:rsidP="00642948">
      <w:pPr>
        <w:spacing w:after="0" w:line="360" w:lineRule="auto"/>
        <w:rPr>
          <w:rFonts w:ascii="Times New Roman" w:hAnsi="Times New Roman" w:cs="Times New Roman"/>
          <w:sz w:val="24"/>
          <w:szCs w:val="24"/>
        </w:rPr>
      </w:pPr>
      <w:r w:rsidRPr="00061F9E">
        <w:rPr>
          <w:rFonts w:ascii="Times New Roman" w:hAnsi="Times New Roman" w:cs="Times New Roman"/>
          <w:sz w:val="24"/>
          <w:szCs w:val="24"/>
        </w:rPr>
        <w:t xml:space="preserve">V. LO MÁS RENTABLE: </w:t>
      </w:r>
      <w:r w:rsidR="00F740BE">
        <w:rPr>
          <w:rFonts w:ascii="Times New Roman" w:hAnsi="Times New Roman" w:cs="Times New Roman"/>
          <w:sz w:val="24"/>
          <w:szCs w:val="24"/>
        </w:rPr>
        <w:t>LA FÁBRICA DE SERES VULNERABLES PARA LA EXPORTACIÓN</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 xml:space="preserve">El producto de exportación más rentable y que mejores dividendos ha dado al modelo económico implantado por el neoliberalismo en México es la fuerza de trabajo barata, flexible, vulnerable y masiva. Lo anterior, tanto en la forma que incluye a su portador, el trabajador migrante, como en la que se objetiva en los productos, por un lado, de la industria maquiladora, tanto en su vertiente formal como en su modalidad encubierta -como lo han propuesto y analizado destacadamente </w:t>
      </w:r>
      <w:r w:rsidR="00220903" w:rsidRPr="00061F9E">
        <w:rPr>
          <w:rFonts w:ascii="Times New Roman" w:hAnsi="Times New Roman" w:cs="Times New Roman"/>
          <w:sz w:val="24"/>
          <w:szCs w:val="24"/>
        </w:rPr>
        <w:t xml:space="preserve">Cypher </w:t>
      </w:r>
      <w:r w:rsidR="00220903">
        <w:rPr>
          <w:rFonts w:ascii="Times New Roman" w:hAnsi="Times New Roman" w:cs="Times New Roman"/>
          <w:sz w:val="24"/>
          <w:szCs w:val="24"/>
        </w:rPr>
        <w:t xml:space="preserve">y Delgado Wise </w:t>
      </w:r>
      <w:r w:rsidRPr="00061F9E">
        <w:rPr>
          <w:rFonts w:ascii="Times New Roman" w:hAnsi="Times New Roman" w:cs="Times New Roman"/>
          <w:sz w:val="24"/>
          <w:szCs w:val="24"/>
        </w:rPr>
        <w:t>(2012)-; y, por otro, de la producción agroindustrial, sobre todo del norte del país, basadas ambas en gran medida en el trabajo de migrantes internos</w:t>
      </w:r>
      <w:r w:rsidR="000F7692">
        <w:rPr>
          <w:rFonts w:ascii="Times New Roman" w:hAnsi="Times New Roman" w:cs="Times New Roman"/>
          <w:sz w:val="24"/>
          <w:szCs w:val="24"/>
        </w:rPr>
        <w:t xml:space="preserve"> (Lara Flores, 2010; </w:t>
      </w:r>
      <w:r w:rsidR="000F7692" w:rsidRPr="000F7692">
        <w:rPr>
          <w:rFonts w:ascii="Times New Roman" w:hAnsi="Times New Roman" w:cs="Times New Roman"/>
          <w:sz w:val="24"/>
          <w:szCs w:val="24"/>
        </w:rPr>
        <w:t>Herrera, Massieu, Ortiz y Revilla, 2014</w:t>
      </w:r>
      <w:r w:rsidR="000F7692">
        <w:rPr>
          <w:rFonts w:ascii="Times New Roman" w:hAnsi="Times New Roman" w:cs="Times New Roman"/>
          <w:sz w:val="24"/>
          <w:szCs w:val="24"/>
        </w:rPr>
        <w:t>)</w:t>
      </w:r>
      <w:r w:rsidRPr="00061F9E">
        <w:rPr>
          <w:rFonts w:ascii="Times New Roman" w:hAnsi="Times New Roman" w:cs="Times New Roman"/>
          <w:sz w:val="24"/>
          <w:szCs w:val="24"/>
        </w:rPr>
        <w:t xml:space="preserve">. </w:t>
      </w:r>
    </w:p>
    <w:p w:rsidR="00B270FA"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r>
      <w:r w:rsidRPr="001A7E6D">
        <w:rPr>
          <w:rFonts w:ascii="Times New Roman" w:hAnsi="Times New Roman" w:cs="Times New Roman"/>
          <w:sz w:val="24"/>
          <w:szCs w:val="24"/>
        </w:rPr>
        <w:t>En este apartado se aborda</w:t>
      </w:r>
      <w:r w:rsidR="004508EE" w:rsidRPr="001A7E6D">
        <w:rPr>
          <w:rFonts w:ascii="Times New Roman" w:hAnsi="Times New Roman" w:cs="Times New Roman"/>
          <w:sz w:val="24"/>
          <w:szCs w:val="24"/>
        </w:rPr>
        <w:t>n</w:t>
      </w:r>
      <w:r w:rsidRPr="001A7E6D">
        <w:rPr>
          <w:rFonts w:ascii="Times New Roman" w:hAnsi="Times New Roman" w:cs="Times New Roman"/>
          <w:sz w:val="24"/>
          <w:szCs w:val="24"/>
        </w:rPr>
        <w:t xml:space="preserve"> la emigración de trabajadores mexicanos y su muy redituable contraparte: las remesas. Mismas que, nunca está de más repetirlo, son esencialmente un salario que se gasta como tal, que es devengado en los Estados Unidos y que es transferido para su utilización por los hogares en México. No es un fondo de ahorro -lo es de consumo- y nunca conforma una masa unificada ni en el tiempo ni en el espacio. Se compone de millones de actos de envío distribuidos a lo largo de cada año, desde todos los puntos imaginables de la Unión Americana y se destina a una infinidad similar de sitios en la República Mexicana, que son respectivamente los lugares de destino y los de partida de las personas migrantes</w:t>
      </w:r>
      <w:r w:rsidR="00B270FA" w:rsidRPr="001A7E6D">
        <w:rPr>
          <w:rFonts w:ascii="Times New Roman" w:hAnsi="Times New Roman" w:cs="Times New Roman"/>
          <w:sz w:val="24"/>
          <w:szCs w:val="24"/>
        </w:rPr>
        <w:t xml:space="preserve"> (</w:t>
      </w:r>
      <w:r w:rsidR="00F36C36" w:rsidRPr="001A7E6D">
        <w:rPr>
          <w:rFonts w:ascii="Times New Roman" w:hAnsi="Times New Roman" w:cs="Times New Roman"/>
          <w:sz w:val="24"/>
          <w:szCs w:val="24"/>
        </w:rPr>
        <w:t xml:space="preserve">Ver: </w:t>
      </w:r>
      <w:r w:rsidR="00C438C6">
        <w:rPr>
          <w:rFonts w:ascii="Times New Roman" w:hAnsi="Times New Roman" w:cs="Times New Roman"/>
          <w:sz w:val="24"/>
          <w:szCs w:val="24"/>
        </w:rPr>
        <w:t xml:space="preserve">Canales, 2005; </w:t>
      </w:r>
      <w:r w:rsidR="00B270FA" w:rsidRPr="001A7E6D">
        <w:rPr>
          <w:rFonts w:ascii="Times New Roman" w:hAnsi="Times New Roman" w:cs="Times New Roman"/>
          <w:sz w:val="24"/>
          <w:szCs w:val="24"/>
        </w:rPr>
        <w:t xml:space="preserve">Declaración de </w:t>
      </w:r>
      <w:r w:rsidR="009371E6" w:rsidRPr="001A7E6D">
        <w:rPr>
          <w:rFonts w:ascii="Times New Roman" w:hAnsi="Times New Roman" w:cs="Times New Roman"/>
          <w:sz w:val="24"/>
          <w:szCs w:val="24"/>
        </w:rPr>
        <w:t>C</w:t>
      </w:r>
      <w:r w:rsidR="00B270FA" w:rsidRPr="001A7E6D">
        <w:rPr>
          <w:rFonts w:ascii="Times New Roman" w:hAnsi="Times New Roman" w:cs="Times New Roman"/>
          <w:sz w:val="24"/>
          <w:szCs w:val="24"/>
        </w:rPr>
        <w:t xml:space="preserve">uernavaca, </w:t>
      </w:r>
      <w:r w:rsidR="00F36C36" w:rsidRPr="001A7E6D">
        <w:rPr>
          <w:rFonts w:ascii="Times New Roman" w:hAnsi="Times New Roman" w:cs="Times New Roman"/>
          <w:sz w:val="24"/>
          <w:szCs w:val="24"/>
        </w:rPr>
        <w:t>2005</w:t>
      </w:r>
      <w:r w:rsidR="00B270FA" w:rsidRPr="001A7E6D">
        <w:rPr>
          <w:rFonts w:ascii="Times New Roman" w:hAnsi="Times New Roman" w:cs="Times New Roman"/>
          <w:sz w:val="24"/>
          <w:szCs w:val="24"/>
        </w:rPr>
        <w:t>)</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A continuación se presenta una muy breve síntesis de los volúmenes de los flujos de migrantes mexicanos a los Estados Unidos y sus remesas, que significan el principal pilar de la generación de divisas de la economía mexicana, para poder más adelante comparar su peso con el que tienen en este rubro los ingresos derivados de la IED, el turismo y el petróleo.</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Al analizar el comportamiento de la migración mexicana a los Estados Unidos en el periodo del TLCAN no debe olvidarse que fueron precisamente las mercancía</w:t>
      </w:r>
      <w:r w:rsidR="00B82E79">
        <w:rPr>
          <w:rFonts w:ascii="Times New Roman" w:hAnsi="Times New Roman" w:cs="Times New Roman"/>
          <w:sz w:val="24"/>
          <w:szCs w:val="24"/>
        </w:rPr>
        <w:t>s</w:t>
      </w:r>
      <w:r w:rsidRPr="00061F9E">
        <w:rPr>
          <w:rFonts w:ascii="Times New Roman" w:hAnsi="Times New Roman" w:cs="Times New Roman"/>
          <w:sz w:val="24"/>
          <w:szCs w:val="24"/>
        </w:rPr>
        <w:t xml:space="preserve"> fuerza de trabajo y petróleo las únicas importantes que se mantuvieron explícitamente fuera del </w:t>
      </w:r>
      <w:r w:rsidRPr="00061F9E">
        <w:rPr>
          <w:rFonts w:ascii="Times New Roman" w:hAnsi="Times New Roman" w:cs="Times New Roman"/>
          <w:sz w:val="24"/>
          <w:szCs w:val="24"/>
        </w:rPr>
        <w:lastRenderedPageBreak/>
        <w:t xml:space="preserve">esquema de apertura económica del acuerdo. El antecedente inmediato en la definición de la política migratoria del país receptor era la Immigration Reform and Control Act (IRCA), aprobada en 1986 y vigente desde el 1 de enero de 1987, que había abierto una nueva fase en el proceso migratorio, caracterizada por Durand y Massey (2003); como una de </w:t>
      </w:r>
      <w:r w:rsidRPr="00061F9E">
        <w:rPr>
          <w:rFonts w:ascii="Times New Roman" w:hAnsi="Times New Roman" w:cs="Times New Roman"/>
          <w:i/>
          <w:sz w:val="24"/>
          <w:szCs w:val="24"/>
        </w:rPr>
        <w:t>legalización y migración clandestina</w:t>
      </w:r>
      <w:r w:rsidRPr="00061F9E">
        <w:rPr>
          <w:rStyle w:val="Refdenotaalpie"/>
          <w:rFonts w:ascii="Times New Roman" w:hAnsi="Times New Roman" w:cs="Times New Roman"/>
          <w:i/>
          <w:sz w:val="24"/>
          <w:szCs w:val="24"/>
        </w:rPr>
        <w:footnoteReference w:id="17"/>
      </w:r>
      <w:r w:rsidRPr="00061F9E">
        <w:rPr>
          <w:rFonts w:ascii="Times New Roman" w:hAnsi="Times New Roman" w:cs="Times New Roman"/>
          <w:i/>
          <w:sz w:val="24"/>
          <w:szCs w:val="24"/>
        </w:rPr>
        <w:t>,</w:t>
      </w:r>
      <w:r w:rsidRPr="00061F9E">
        <w:rPr>
          <w:rFonts w:ascii="Times New Roman" w:hAnsi="Times New Roman" w:cs="Times New Roman"/>
          <w:sz w:val="24"/>
          <w:szCs w:val="24"/>
        </w:rPr>
        <w:t xml:space="preserve"> en la cual se diversifican considerablemente tanto </w:t>
      </w:r>
      <w:r w:rsidR="009371E6">
        <w:rPr>
          <w:rFonts w:ascii="Times New Roman" w:hAnsi="Times New Roman" w:cs="Times New Roman"/>
          <w:sz w:val="24"/>
          <w:szCs w:val="24"/>
        </w:rPr>
        <w:t xml:space="preserve">los orígenes como los destinos </w:t>
      </w:r>
      <w:r w:rsidRPr="00061F9E">
        <w:rPr>
          <w:rFonts w:ascii="Times New Roman" w:hAnsi="Times New Roman" w:cs="Times New Roman"/>
          <w:sz w:val="24"/>
          <w:szCs w:val="24"/>
        </w:rPr>
        <w:t>de la migración mexicana y se incrementa considerablemente su volumen anual.</w:t>
      </w:r>
    </w:p>
    <w:p w:rsidR="00014561"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A partir de la entrada en vigencia del TLCAN, pueden distinguirse dos fases en la migración mexicana a los Estados Unidos</w:t>
      </w:r>
      <w:r w:rsidR="00394870">
        <w:rPr>
          <w:rFonts w:ascii="Times New Roman" w:hAnsi="Times New Roman" w:cs="Times New Roman"/>
          <w:sz w:val="24"/>
          <w:szCs w:val="24"/>
        </w:rPr>
        <w:t xml:space="preserve"> (</w:t>
      </w:r>
      <w:r w:rsidR="00BA1BEA">
        <w:rPr>
          <w:rFonts w:ascii="Times New Roman" w:hAnsi="Times New Roman" w:cs="Times New Roman"/>
          <w:sz w:val="24"/>
          <w:szCs w:val="24"/>
        </w:rPr>
        <w:t>gráfica</w:t>
      </w:r>
      <w:r w:rsidR="00394870">
        <w:rPr>
          <w:rFonts w:ascii="Times New Roman" w:hAnsi="Times New Roman" w:cs="Times New Roman"/>
          <w:sz w:val="24"/>
          <w:szCs w:val="24"/>
        </w:rPr>
        <w:t xml:space="preserve"> # </w:t>
      </w:r>
      <w:r w:rsidR="00DF1A3D">
        <w:rPr>
          <w:rFonts w:ascii="Times New Roman" w:hAnsi="Times New Roman" w:cs="Times New Roman"/>
          <w:sz w:val="24"/>
          <w:szCs w:val="24"/>
        </w:rPr>
        <w:t>4</w:t>
      </w:r>
      <w:r w:rsidR="00394870">
        <w:rPr>
          <w:rFonts w:ascii="Times New Roman" w:hAnsi="Times New Roman" w:cs="Times New Roman"/>
          <w:sz w:val="24"/>
          <w:szCs w:val="24"/>
        </w:rPr>
        <w:t>)</w:t>
      </w:r>
      <w:r w:rsidR="00B80FF5">
        <w:rPr>
          <w:rStyle w:val="Refdenotaalpie"/>
          <w:rFonts w:ascii="Times New Roman" w:hAnsi="Times New Roman" w:cs="Times New Roman"/>
          <w:sz w:val="24"/>
          <w:szCs w:val="24"/>
        </w:rPr>
        <w:footnoteReference w:id="18"/>
      </w:r>
      <w:r w:rsidRPr="00061F9E">
        <w:rPr>
          <w:rFonts w:ascii="Times New Roman" w:hAnsi="Times New Roman" w:cs="Times New Roman"/>
          <w:sz w:val="24"/>
          <w:szCs w:val="24"/>
        </w:rPr>
        <w:t>. En una primera, de 1994 a 2007, se presenta un gran crecimiento sostenido, que lleva a que el total de la población nacida en México que habita en ese país suba de 6.5 a 11.8 millones de personas</w:t>
      </w:r>
      <w:r w:rsidRPr="00061F9E">
        <w:rPr>
          <w:rStyle w:val="Refdenotaalpie"/>
          <w:rFonts w:ascii="Times New Roman" w:hAnsi="Times New Roman" w:cs="Times New Roman"/>
          <w:sz w:val="24"/>
          <w:szCs w:val="24"/>
        </w:rPr>
        <w:footnoteReference w:id="19"/>
      </w:r>
      <w:r w:rsidRPr="00061F9E">
        <w:rPr>
          <w:rFonts w:ascii="Times New Roman" w:hAnsi="Times New Roman" w:cs="Times New Roman"/>
          <w:sz w:val="24"/>
          <w:szCs w:val="24"/>
        </w:rPr>
        <w:t>. En la segunda, que se prolonga hasta a 2013, se presenta una situación de estancamiento, con ligeras oscilaciones alrededor de los 11.8 millones de 2007.</w:t>
      </w:r>
    </w:p>
    <w:p w:rsidR="00A843AC" w:rsidRPr="00061F9E" w:rsidRDefault="00BE124F"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43AC" w:rsidRPr="00061F9E">
        <w:rPr>
          <w:rFonts w:ascii="Times New Roman" w:hAnsi="Times New Roman" w:cs="Times New Roman"/>
          <w:sz w:val="24"/>
          <w:szCs w:val="24"/>
        </w:rPr>
        <w:t>No se trata en este lugar de hacer una análisis de las causas de este comportamiento reciente, pero resulta claro que la explicación debe encontrarse tanto en los efectos acumulados de las medidas adoptadas por los Estados Unidos después de los atentados del 11 de septiembre de 2001, como en los de la crisis que arranca en el último trimestre de 2007 en el sector inmobiliario de ese país</w:t>
      </w:r>
      <w:r w:rsidR="009371E6">
        <w:rPr>
          <w:rFonts w:ascii="Times New Roman" w:hAnsi="Times New Roman" w:cs="Times New Roman"/>
          <w:sz w:val="24"/>
          <w:szCs w:val="24"/>
        </w:rPr>
        <w:t xml:space="preserve"> (Levine y Le Baron, 201</w:t>
      </w:r>
      <w:r w:rsidR="00F36C36">
        <w:rPr>
          <w:rFonts w:ascii="Times New Roman" w:hAnsi="Times New Roman" w:cs="Times New Roman"/>
          <w:sz w:val="24"/>
          <w:szCs w:val="24"/>
        </w:rPr>
        <w:t>3</w:t>
      </w:r>
      <w:r w:rsidR="009371E6">
        <w:rPr>
          <w:rFonts w:ascii="Times New Roman" w:hAnsi="Times New Roman" w:cs="Times New Roman"/>
          <w:sz w:val="24"/>
          <w:szCs w:val="24"/>
        </w:rPr>
        <w:t>)</w:t>
      </w:r>
      <w:r w:rsidR="00A843AC" w:rsidRPr="00061F9E">
        <w:rPr>
          <w:rFonts w:ascii="Times New Roman" w:hAnsi="Times New Roman" w:cs="Times New Roman"/>
          <w:sz w:val="24"/>
          <w:szCs w:val="24"/>
        </w:rPr>
        <w:t xml:space="preserve">. </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Sí resulta necesario precisar que los años recientes, a partir precisamente de 2001, han sido los más difíciles para los migrantes mexicanos en los Estados Unidos en toda esta historia migratoria</w:t>
      </w:r>
      <w:r w:rsidRPr="00061F9E">
        <w:rPr>
          <w:rStyle w:val="Refdenotaalpie"/>
          <w:rFonts w:ascii="Times New Roman" w:hAnsi="Times New Roman" w:cs="Times New Roman"/>
          <w:sz w:val="24"/>
          <w:szCs w:val="24"/>
        </w:rPr>
        <w:footnoteReference w:id="20"/>
      </w:r>
      <w:r w:rsidRPr="00061F9E">
        <w:rPr>
          <w:rFonts w:ascii="Times New Roman" w:hAnsi="Times New Roman" w:cs="Times New Roman"/>
          <w:sz w:val="24"/>
          <w:szCs w:val="24"/>
        </w:rPr>
        <w:t>. Incremento de las muertes, las lesiones y las enfermedades en los intentos de cruce por rutas cada vez más riesgosas; encarecimiento del costo de la migración ilegal; deportaciones; legislaciones estatales cada vez más restrictivas</w:t>
      </w:r>
      <w:r w:rsidRPr="00061F9E">
        <w:rPr>
          <w:rStyle w:val="Refdenotaalpie"/>
          <w:rFonts w:ascii="Times New Roman" w:hAnsi="Times New Roman" w:cs="Times New Roman"/>
          <w:sz w:val="24"/>
          <w:szCs w:val="24"/>
        </w:rPr>
        <w:footnoteReference w:id="21"/>
      </w:r>
      <w:r w:rsidRPr="00061F9E">
        <w:rPr>
          <w:rFonts w:ascii="Times New Roman" w:hAnsi="Times New Roman" w:cs="Times New Roman"/>
          <w:sz w:val="24"/>
          <w:szCs w:val="24"/>
        </w:rPr>
        <w:t xml:space="preserve">, entre otros elementos negativos, conforman el panorama que enfrentan los mexicanos en los Estados Unidos en el momento en que la crisis estalla y afecta de manera muy importante </w:t>
      </w:r>
      <w:r w:rsidRPr="00061F9E">
        <w:rPr>
          <w:rFonts w:ascii="Times New Roman" w:hAnsi="Times New Roman" w:cs="Times New Roman"/>
          <w:sz w:val="24"/>
          <w:szCs w:val="24"/>
        </w:rPr>
        <w:lastRenderedPageBreak/>
        <w:t>los nichos del mercado de trabajo en los que se insertan laboralmente de manera central, como la construcción, diversos servicios y el sector degradado de la industria manufacturera</w:t>
      </w:r>
      <w:r w:rsidR="00311059">
        <w:rPr>
          <w:rFonts w:ascii="Times New Roman" w:hAnsi="Times New Roman" w:cs="Times New Roman"/>
          <w:sz w:val="24"/>
          <w:szCs w:val="24"/>
        </w:rPr>
        <w:t xml:space="preserve"> (Giorguli, 2008</w:t>
      </w:r>
      <w:r w:rsidR="009371E6">
        <w:rPr>
          <w:rFonts w:ascii="Times New Roman" w:hAnsi="Times New Roman" w:cs="Times New Roman"/>
          <w:sz w:val="24"/>
          <w:szCs w:val="24"/>
        </w:rPr>
        <w:t>)</w:t>
      </w:r>
      <w:r w:rsidRPr="00061F9E">
        <w:rPr>
          <w:rFonts w:ascii="Times New Roman" w:hAnsi="Times New Roman" w:cs="Times New Roman"/>
          <w:sz w:val="24"/>
          <w:szCs w:val="24"/>
        </w:rPr>
        <w:t>. Esto es, el costo humano de las remesas se ha hecho cada vez más elevado en el periodo reciente.</w:t>
      </w:r>
    </w:p>
    <w:p w:rsidR="00A843AC"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 xml:space="preserve">De las cifras de la migración en las últimas décadas se desprende que  México ha transferido a los Estados Unidos el usufructo de su </w:t>
      </w:r>
      <w:r w:rsidRPr="00061F9E">
        <w:rPr>
          <w:rFonts w:ascii="Times New Roman" w:hAnsi="Times New Roman" w:cs="Times New Roman"/>
          <w:i/>
          <w:sz w:val="24"/>
          <w:szCs w:val="24"/>
        </w:rPr>
        <w:t>bono demográfico</w:t>
      </w:r>
      <w:r w:rsidRPr="00061F9E">
        <w:rPr>
          <w:rFonts w:ascii="Times New Roman" w:hAnsi="Times New Roman" w:cs="Times New Roman"/>
          <w:sz w:val="24"/>
          <w:szCs w:val="24"/>
        </w:rPr>
        <w:t>. Pero es claro también que éste no tardará mucho tiempo en agotarse por razones meramente demográficas. Un indicador de esto se encuentra en el envejecimiento paulatino de la población mexicana en los Estados Unidos en edad d</w:t>
      </w:r>
      <w:r w:rsidR="00BA1BEA">
        <w:rPr>
          <w:rFonts w:ascii="Times New Roman" w:hAnsi="Times New Roman" w:cs="Times New Roman"/>
          <w:sz w:val="24"/>
          <w:szCs w:val="24"/>
        </w:rPr>
        <w:t>e laborar. L</w:t>
      </w:r>
      <w:r w:rsidRPr="00061F9E">
        <w:rPr>
          <w:rFonts w:ascii="Times New Roman" w:hAnsi="Times New Roman" w:cs="Times New Roman"/>
          <w:sz w:val="24"/>
          <w:szCs w:val="24"/>
        </w:rPr>
        <w:t xml:space="preserve">a población migrante mexicana en los Estado Unidos es sobre todo mayor a los 14  y menor a los 60 años y se concentra por tanto en las edades más activas laboralmente. Pero </w:t>
      </w:r>
      <w:r w:rsidR="00BA1BEA">
        <w:rPr>
          <w:rFonts w:ascii="Times New Roman" w:hAnsi="Times New Roman" w:cs="Times New Roman"/>
          <w:sz w:val="24"/>
          <w:szCs w:val="24"/>
        </w:rPr>
        <w:t>en ella se presenta</w:t>
      </w:r>
      <w:r w:rsidRPr="00061F9E">
        <w:rPr>
          <w:rFonts w:ascii="Times New Roman" w:hAnsi="Times New Roman" w:cs="Times New Roman"/>
          <w:sz w:val="24"/>
          <w:szCs w:val="24"/>
        </w:rPr>
        <w:t xml:space="preserve"> un desplazamiento de los grupos dependientes (PNEA) de la infancia a la vejez en los veinte años del TLCAN; así como un incremento de la edad promedio de los 32.7 a los 40.1 años, entre 1995 y 2013. </w:t>
      </w:r>
      <w:r w:rsidR="00BA1BEA">
        <w:rPr>
          <w:rFonts w:ascii="Times New Roman" w:hAnsi="Times New Roman" w:cs="Times New Roman"/>
          <w:sz w:val="24"/>
          <w:szCs w:val="24"/>
        </w:rPr>
        <w:t>Otro dato importante es que en ese periodo</w:t>
      </w:r>
      <w:r w:rsidRPr="00061F9E">
        <w:rPr>
          <w:rFonts w:ascii="Times New Roman" w:hAnsi="Times New Roman" w:cs="Times New Roman"/>
          <w:sz w:val="24"/>
          <w:szCs w:val="24"/>
        </w:rPr>
        <w:t xml:space="preserve"> el porcentaje de migrantes que se ubica en el grupo de los 18 a los 39 años desciende del 58.4% al 45.8% del total; mientras que el que lo hace en el de los 40 a los 59 años, crece del 21.2% al 37.3%</w:t>
      </w:r>
      <w:r w:rsidR="007D4044">
        <w:rPr>
          <w:rFonts w:ascii="Times New Roman" w:hAnsi="Times New Roman" w:cs="Times New Roman"/>
          <w:sz w:val="24"/>
          <w:szCs w:val="24"/>
        </w:rPr>
        <w:t xml:space="preserve"> (BBVA/CONAPO, 2014)</w:t>
      </w:r>
      <w:r w:rsidRPr="00061F9E">
        <w:rPr>
          <w:rFonts w:ascii="Times New Roman" w:hAnsi="Times New Roman" w:cs="Times New Roman"/>
          <w:sz w:val="24"/>
          <w:szCs w:val="24"/>
        </w:rPr>
        <w:t>.</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r>
      <w:r w:rsidR="00311059">
        <w:rPr>
          <w:rFonts w:ascii="Times New Roman" w:hAnsi="Times New Roman" w:cs="Times New Roman"/>
          <w:sz w:val="24"/>
          <w:szCs w:val="24"/>
        </w:rPr>
        <w:t>Debe destacarse</w:t>
      </w:r>
      <w:r w:rsidRPr="00061F9E">
        <w:rPr>
          <w:rFonts w:ascii="Times New Roman" w:hAnsi="Times New Roman" w:cs="Times New Roman"/>
          <w:sz w:val="24"/>
          <w:szCs w:val="24"/>
        </w:rPr>
        <w:t xml:space="preserve"> que, salvo durante la crisis, el índice de desocupación de la PEA mexicana en los Estados Unidos, se mantiene sumamente estable en alrededor de 400 mil personas, desde 1995 (medio millón) hasta 2007 (400 mil). Si bien la crisis golpea con dureza a los mexicanos en el empleo, en tanto que sectores como la construcción, la manufactura ligera, la agricultura y muchos servicios descalificados son de los que más resienten sus efectos y en donde más se concentran los migrantes de México, su recuperación es incluso más rápida que la de otros grupos poblacionales a partir incluso de la segunda mitad de 2009, cuando se da oficialmente por finalizada en los Estados Unidos la recesión. Esto s</w:t>
      </w:r>
      <w:r w:rsidR="00B9527A">
        <w:rPr>
          <w:rFonts w:ascii="Times New Roman" w:hAnsi="Times New Roman" w:cs="Times New Roman"/>
          <w:sz w:val="24"/>
          <w:szCs w:val="24"/>
        </w:rPr>
        <w:t>e debe en gran medida, (Kochhar,</w:t>
      </w:r>
      <w:r w:rsidRPr="00061F9E">
        <w:rPr>
          <w:rFonts w:ascii="Times New Roman" w:hAnsi="Times New Roman" w:cs="Times New Roman"/>
          <w:sz w:val="24"/>
          <w:szCs w:val="24"/>
        </w:rPr>
        <w:t xml:space="preserve"> 2009; Kochhar, Espinoza y Hinze-Pifer, 2010), a la gran flexibilidad de los trabajadores que ellos llaman </w:t>
      </w:r>
      <w:r w:rsidRPr="00061F9E">
        <w:rPr>
          <w:rFonts w:ascii="Times New Roman" w:hAnsi="Times New Roman" w:cs="Times New Roman"/>
          <w:i/>
          <w:sz w:val="24"/>
          <w:szCs w:val="24"/>
        </w:rPr>
        <w:t>latinos</w:t>
      </w:r>
      <w:r w:rsidRPr="00061F9E">
        <w:rPr>
          <w:rFonts w:ascii="Times New Roman" w:hAnsi="Times New Roman" w:cs="Times New Roman"/>
          <w:sz w:val="24"/>
          <w:szCs w:val="24"/>
        </w:rPr>
        <w:t>, que están dispuestos en cualquier momento no sólo a cambiar de ocupación, sino incluso de rama, de ciudad y aun de estado con tal de obtener un empleo.</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lastRenderedPageBreak/>
        <w:tab/>
        <w:t xml:space="preserve">Buena parte de esa migración, como es bien sabido, es </w:t>
      </w:r>
      <w:r w:rsidRPr="00061F9E">
        <w:rPr>
          <w:rFonts w:ascii="Times New Roman" w:hAnsi="Times New Roman" w:cs="Times New Roman"/>
          <w:b/>
          <w:sz w:val="24"/>
          <w:szCs w:val="24"/>
        </w:rPr>
        <w:t>no autorizada</w:t>
      </w:r>
      <w:r w:rsidRPr="00061F9E">
        <w:rPr>
          <w:rStyle w:val="Refdenotaalpie"/>
          <w:rFonts w:ascii="Times New Roman" w:hAnsi="Times New Roman" w:cs="Times New Roman"/>
          <w:b/>
          <w:sz w:val="24"/>
          <w:szCs w:val="24"/>
        </w:rPr>
        <w:footnoteReference w:id="22"/>
      </w:r>
      <w:r w:rsidRPr="00061F9E">
        <w:rPr>
          <w:rFonts w:ascii="Times New Roman" w:hAnsi="Times New Roman" w:cs="Times New Roman"/>
          <w:sz w:val="24"/>
          <w:szCs w:val="24"/>
        </w:rPr>
        <w:t xml:space="preserve">, que es el estatus migratorio de mayor vulnerabilidad. Para 2007, cuando arranca la crisis, había 7 millones de mexicanos en esa condición, que representaban cerca del 60% del total de migrantes mexicanos. Cabe señalar que México es el país que aporta el mayor número de migrantes no autorizados a los Estados Unidos: en  2009, más de seis y medio de los casi nueve millones de personas en esa condición provenenientes en conjunto de América Latina, que aporta </w:t>
      </w:r>
      <w:r w:rsidR="00311059">
        <w:rPr>
          <w:rFonts w:ascii="Times New Roman" w:hAnsi="Times New Roman" w:cs="Times New Roman"/>
          <w:sz w:val="24"/>
          <w:szCs w:val="24"/>
        </w:rPr>
        <w:t>de manera agregada</w:t>
      </w:r>
      <w:r w:rsidRPr="00061F9E">
        <w:rPr>
          <w:rFonts w:ascii="Times New Roman" w:hAnsi="Times New Roman" w:cs="Times New Roman"/>
          <w:sz w:val="24"/>
          <w:szCs w:val="24"/>
        </w:rPr>
        <w:t xml:space="preserve"> el 80% del total. </w:t>
      </w:r>
    </w:p>
    <w:p w:rsidR="00A843AC"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Una consecuencia importante de la combinación de efectos de la criminalización de la migración no autorizada y de la crisis, es que este tipo de migración disminuye en los últimos años de la pasada década y los primeros de la actual, tanto en términos generales como en lo que se refiere específicamente a México, por primera vez desde al menos el fin del periodo bracero (Passel y Cohn, 2010).</w:t>
      </w:r>
    </w:p>
    <w:p w:rsidR="00A843AC"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La exportación masiva de fuerza de trabajo barata, flexible y vulnerable, ha tenido como contrapartida para México el flujo constante y masivo del mayor saldo neto de divisas que han llegado al país en todos los años del TLCAN: las remesas, la parte del salario que los migrantes envían a sus hogares para sobrevivir en el México devastado por el neoliberalismo.</w:t>
      </w:r>
    </w:p>
    <w:tbl>
      <w:tblPr>
        <w:tblStyle w:val="Tablaconcuadrcula"/>
        <w:tblW w:w="0" w:type="auto"/>
        <w:tblLook w:val="04A0"/>
      </w:tblPr>
      <w:tblGrid>
        <w:gridCol w:w="9054"/>
      </w:tblGrid>
      <w:tr w:rsidR="00BE124F" w:rsidTr="0055468D">
        <w:tc>
          <w:tcPr>
            <w:tcW w:w="9054" w:type="dxa"/>
          </w:tcPr>
          <w:p w:rsidR="00BE124F" w:rsidRDefault="00BE124F" w:rsidP="0055468D">
            <w:pPr>
              <w:jc w:val="center"/>
              <w:rPr>
                <w:rFonts w:ascii="Times New Roman" w:hAnsi="Times New Roman" w:cs="Times New Roman"/>
                <w:sz w:val="24"/>
                <w:szCs w:val="24"/>
              </w:rPr>
            </w:pPr>
            <w:r>
              <w:rPr>
                <w:rFonts w:ascii="Times New Roman" w:hAnsi="Times New Roman" w:cs="Times New Roman"/>
                <w:sz w:val="24"/>
                <w:szCs w:val="24"/>
              </w:rPr>
              <w:br w:type="page"/>
              <w:t>GRÁFICA # 4</w:t>
            </w:r>
          </w:p>
          <w:p w:rsidR="00BE124F" w:rsidRDefault="00BE124F" w:rsidP="0055468D">
            <w:pPr>
              <w:jc w:val="center"/>
              <w:rPr>
                <w:rFonts w:ascii="Times New Roman" w:hAnsi="Times New Roman" w:cs="Times New Roman"/>
                <w:sz w:val="24"/>
                <w:szCs w:val="24"/>
              </w:rPr>
            </w:pPr>
            <w:r>
              <w:rPr>
                <w:rFonts w:ascii="Times New Roman" w:hAnsi="Times New Roman" w:cs="Times New Roman"/>
                <w:sz w:val="24"/>
                <w:szCs w:val="24"/>
              </w:rPr>
              <w:t>MEXICANOS EN LOS ESTADOS UNIDOS Y REMESAS, 1994-2013</w:t>
            </w:r>
          </w:p>
          <w:p w:rsidR="00BE124F" w:rsidRDefault="00BE124F" w:rsidP="0055468D">
            <w:pPr>
              <w:jc w:val="center"/>
              <w:rPr>
                <w:rFonts w:ascii="Times New Roman" w:hAnsi="Times New Roman" w:cs="Times New Roman"/>
                <w:sz w:val="24"/>
                <w:szCs w:val="24"/>
              </w:rPr>
            </w:pPr>
            <w:r>
              <w:rPr>
                <w:rFonts w:ascii="Times New Roman" w:hAnsi="Times New Roman" w:cs="Times New Roman"/>
                <w:sz w:val="24"/>
                <w:szCs w:val="24"/>
              </w:rPr>
              <w:t>(millones de personas y mmd)</w:t>
            </w:r>
          </w:p>
        </w:tc>
      </w:tr>
    </w:tbl>
    <w:p w:rsidR="00BE124F" w:rsidRDefault="00BE124F" w:rsidP="00642948">
      <w:pPr>
        <w:spacing w:after="0" w:line="360" w:lineRule="auto"/>
        <w:jc w:val="both"/>
        <w:rPr>
          <w:rFonts w:ascii="Times New Roman" w:hAnsi="Times New Roman" w:cs="Times New Roman"/>
          <w:sz w:val="24"/>
          <w:szCs w:val="24"/>
        </w:rPr>
      </w:pPr>
      <w:r w:rsidRPr="00BE124F">
        <w:rPr>
          <w:rFonts w:ascii="Times New Roman" w:hAnsi="Times New Roman" w:cs="Times New Roman"/>
          <w:noProof/>
          <w:sz w:val="24"/>
          <w:szCs w:val="24"/>
          <w:lang w:eastAsia="es-MX"/>
        </w:rPr>
        <w:drawing>
          <wp:inline distT="0" distB="0" distL="0" distR="0">
            <wp:extent cx="5612130" cy="2549846"/>
            <wp:effectExtent l="19050" t="0" r="26670" b="2854"/>
            <wp:docPr id="2"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aconcuadrcula"/>
        <w:tblW w:w="0" w:type="auto"/>
        <w:tblLook w:val="05A0"/>
      </w:tblPr>
      <w:tblGrid>
        <w:gridCol w:w="9054"/>
      </w:tblGrid>
      <w:tr w:rsidR="00BE124F" w:rsidTr="0055468D">
        <w:tc>
          <w:tcPr>
            <w:tcW w:w="13144" w:type="dxa"/>
          </w:tcPr>
          <w:p w:rsidR="00BE124F" w:rsidRPr="00A20283" w:rsidRDefault="00BE124F" w:rsidP="0055468D">
            <w:pPr>
              <w:rPr>
                <w:rFonts w:ascii="Times New Roman" w:hAnsi="Times New Roman" w:cs="Times New Roman"/>
                <w:sz w:val="20"/>
                <w:szCs w:val="20"/>
              </w:rPr>
            </w:pPr>
            <w:r>
              <w:rPr>
                <w:rFonts w:ascii="Times New Roman" w:hAnsi="Times New Roman" w:cs="Times New Roman"/>
                <w:sz w:val="20"/>
                <w:szCs w:val="20"/>
              </w:rPr>
              <w:lastRenderedPageBreak/>
              <w:t>Fuente: Elaboración propia con datos de: BBVA/CONAPO, 2014</w:t>
            </w:r>
          </w:p>
        </w:tc>
      </w:tr>
    </w:tbl>
    <w:p w:rsidR="00BE124F" w:rsidRPr="00061F9E" w:rsidRDefault="00BE124F" w:rsidP="00642948">
      <w:pPr>
        <w:spacing w:after="0" w:line="360" w:lineRule="auto"/>
        <w:jc w:val="both"/>
        <w:rPr>
          <w:rFonts w:ascii="Times New Roman" w:hAnsi="Times New Roman" w:cs="Times New Roman"/>
          <w:sz w:val="24"/>
          <w:szCs w:val="24"/>
        </w:rPr>
      </w:pPr>
    </w:p>
    <w:p w:rsidR="00A843AC"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Las remesas familiares enviadas a México</w:t>
      </w:r>
      <w:r w:rsidR="00394870">
        <w:rPr>
          <w:rFonts w:ascii="Times New Roman" w:hAnsi="Times New Roman" w:cs="Times New Roman"/>
          <w:sz w:val="24"/>
          <w:szCs w:val="24"/>
        </w:rPr>
        <w:t xml:space="preserve"> (</w:t>
      </w:r>
      <w:r w:rsidR="003B62E3">
        <w:rPr>
          <w:rFonts w:ascii="Times New Roman" w:hAnsi="Times New Roman" w:cs="Times New Roman"/>
          <w:sz w:val="24"/>
          <w:szCs w:val="24"/>
        </w:rPr>
        <w:t xml:space="preserve">Gráfica # </w:t>
      </w:r>
      <w:r w:rsidR="002B39CA">
        <w:rPr>
          <w:rFonts w:ascii="Times New Roman" w:hAnsi="Times New Roman" w:cs="Times New Roman"/>
          <w:sz w:val="24"/>
          <w:szCs w:val="24"/>
        </w:rPr>
        <w:t>4</w:t>
      </w:r>
      <w:r w:rsidR="00394870">
        <w:rPr>
          <w:rFonts w:ascii="Times New Roman" w:hAnsi="Times New Roman" w:cs="Times New Roman"/>
          <w:sz w:val="24"/>
          <w:szCs w:val="24"/>
        </w:rPr>
        <w:t>)</w:t>
      </w:r>
      <w:r w:rsidRPr="00061F9E">
        <w:rPr>
          <w:rFonts w:ascii="Times New Roman" w:hAnsi="Times New Roman" w:cs="Times New Roman"/>
          <w:sz w:val="24"/>
          <w:szCs w:val="24"/>
        </w:rPr>
        <w:t xml:space="preserve"> crecen de manera espectacular y constante entre 1994 y 2007, periodo en el que se incrementan de 3.5 mmd a una cifra record de 26 mmd anuales, un crecimiento del 643%, para un monto total acumulado de 159.84 mmd, con un promedio anual de 11.42 mmd. Esto colocó a México entre los primeros receptores mundiales de remesas, compitiendo con China y la India por el primer lugar en monto absoluto, pero con una población y una economía muchas veces menor a las de esos países</w:t>
      </w:r>
      <w:r w:rsidR="00FD19CD">
        <w:rPr>
          <w:rFonts w:ascii="Times New Roman" w:hAnsi="Times New Roman" w:cs="Times New Roman"/>
          <w:sz w:val="24"/>
          <w:szCs w:val="24"/>
        </w:rPr>
        <w:t>.</w:t>
      </w:r>
    </w:p>
    <w:p w:rsidR="007074D7"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La crisis por supuesto que mermó el monto anual de las remesas, pero lo hizo de una manera moderada a partir de 2008 (25.15 mmd), cuando descienden a niveles anuales promedio de 22 mmd, de 2009 a 2013</w:t>
      </w:r>
      <w:r w:rsidR="007074D7">
        <w:rPr>
          <w:rStyle w:val="Refdenotaalpie"/>
          <w:rFonts w:ascii="Times New Roman" w:hAnsi="Times New Roman" w:cs="Times New Roman"/>
          <w:sz w:val="24"/>
          <w:szCs w:val="24"/>
        </w:rPr>
        <w:footnoteReference w:id="23"/>
      </w:r>
      <w:r w:rsidRPr="00061F9E">
        <w:rPr>
          <w:rFonts w:ascii="Times New Roman" w:hAnsi="Times New Roman" w:cs="Times New Roman"/>
          <w:sz w:val="24"/>
          <w:szCs w:val="24"/>
        </w:rPr>
        <w:t>.</w:t>
      </w:r>
    </w:p>
    <w:p w:rsidR="00A843AC" w:rsidRPr="00061F9E"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 xml:space="preserve">Un dato que resulta de gran interés es que el monto promedio de las remesas enviadas por los trabajadores mexicanos a su país, mantiene una notable estabilidad a lo largo de los veinte años del TLCAN, ubicándose siempre dentro de una banda que va de poco menos de $300 ($282.5 dls. en 1999, como límite inferior) a poco más de $350 dólares ($365.2 dls. en 2000, como límite superior); comportamiento que no tiene mayores modificaciones durante la crisis. Como es lógico, lo que se incrementa notablemente es el número de operaciones de envío realizadas cada año, que pasan de 11,263 en 1994 a 74,992 en 2013. No sólo se incrementa el número de envíos en el periodo, sino también el número de personas que los realizan y la cantidad de lugares desde los cuales se originan estos envíos en los Estados Unidos y la cantidad de localidades en México a los cuales llegan. </w:t>
      </w:r>
    </w:p>
    <w:p w:rsidR="00A843AC" w:rsidRDefault="00A843AC" w:rsidP="00642948">
      <w:pPr>
        <w:spacing w:after="0" w:line="360" w:lineRule="auto"/>
        <w:jc w:val="both"/>
        <w:rPr>
          <w:rFonts w:ascii="Times New Roman" w:hAnsi="Times New Roman" w:cs="Times New Roman"/>
          <w:sz w:val="24"/>
          <w:szCs w:val="24"/>
        </w:rPr>
      </w:pPr>
      <w:r w:rsidRPr="00061F9E">
        <w:rPr>
          <w:rFonts w:ascii="Times New Roman" w:hAnsi="Times New Roman" w:cs="Times New Roman"/>
          <w:sz w:val="24"/>
          <w:szCs w:val="24"/>
        </w:rPr>
        <w:tab/>
        <w:t xml:space="preserve">Toda la Unión Americana se convierte en fuente de remesas y todo el territorio mexicano </w:t>
      </w:r>
      <w:r w:rsidR="002B5A80">
        <w:rPr>
          <w:rFonts w:ascii="Times New Roman" w:hAnsi="Times New Roman" w:cs="Times New Roman"/>
          <w:sz w:val="24"/>
          <w:szCs w:val="24"/>
        </w:rPr>
        <w:t>se vuelve remesodependiente (BM, 2007;</w:t>
      </w:r>
      <w:r w:rsidRPr="00061F9E">
        <w:rPr>
          <w:rFonts w:ascii="Times New Roman" w:hAnsi="Times New Roman" w:cs="Times New Roman"/>
          <w:sz w:val="24"/>
          <w:szCs w:val="24"/>
        </w:rPr>
        <w:t xml:space="preserve"> BBVA/CONAPO, 2014). México, de manera agregada, genera una dependencia de las remesas que puede observarse al medir el porcentaje que las mismas llegan a representar en la economía nacional. Como máximo en el periodo, en 2006 llegan a ser el 2.8% del PIB, para descender como consecuencia de la crisis a un nivel del 1.8% en 2013. Pero debe tenerse en cuenta que hay estados de la República como Michoacán, Guerrero y Oaxaca, en donde este indicador es de 7.4%, 6.9% </w:t>
      </w:r>
      <w:r w:rsidRPr="00061F9E">
        <w:rPr>
          <w:rFonts w:ascii="Times New Roman" w:hAnsi="Times New Roman" w:cs="Times New Roman"/>
          <w:sz w:val="24"/>
          <w:szCs w:val="24"/>
        </w:rPr>
        <w:lastRenderedPageBreak/>
        <w:t>y 6.2%, respectivamente; y que</w:t>
      </w:r>
      <w:r w:rsidR="00B31F25">
        <w:rPr>
          <w:rFonts w:ascii="Times New Roman" w:hAnsi="Times New Roman" w:cs="Times New Roman"/>
          <w:sz w:val="24"/>
          <w:szCs w:val="24"/>
        </w:rPr>
        <w:t xml:space="preserve"> ha </w:t>
      </w:r>
      <w:r w:rsidRPr="00061F9E">
        <w:rPr>
          <w:rFonts w:ascii="Times New Roman" w:hAnsi="Times New Roman" w:cs="Times New Roman"/>
          <w:sz w:val="24"/>
          <w:szCs w:val="24"/>
        </w:rPr>
        <w:t>llegado a alcanzar niveles del 13.2%, en el primero de ellos, en 2004.</w:t>
      </w:r>
    </w:p>
    <w:p w:rsidR="00462FAB" w:rsidRDefault="00A843AC"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Está claro, la exportación de mexicanos vulnerables para su inserción en los trabajos más precarios de la economía norteamericana ha rendido excelentes frutos para el modelo económico y social que el neoliberalismo ha impuesto en México. Este resalta aun más si se compara su aporte con el realizado por las actividades inversoras, turísticas y petroleras internacionales de México.</w:t>
      </w:r>
    </w:p>
    <w:p w:rsidR="00C458F2" w:rsidRDefault="00C458F2" w:rsidP="00642948">
      <w:pPr>
        <w:spacing w:after="0" w:line="360" w:lineRule="auto"/>
        <w:jc w:val="both"/>
        <w:rPr>
          <w:rFonts w:ascii="Times New Roman" w:hAnsi="Times New Roman" w:cs="Times New Roman"/>
          <w:sz w:val="24"/>
          <w:szCs w:val="24"/>
        </w:rPr>
      </w:pPr>
    </w:p>
    <w:p w:rsidR="005A6C91" w:rsidRDefault="00C458F2" w:rsidP="00C45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sidR="005A6C91">
        <w:rPr>
          <w:rFonts w:ascii="Times New Roman" w:hAnsi="Times New Roman" w:cs="Times New Roman"/>
          <w:sz w:val="24"/>
          <w:szCs w:val="24"/>
        </w:rPr>
        <w:t xml:space="preserve"> LAS REMESAS COMO </w:t>
      </w:r>
      <w:r w:rsidR="009F2821">
        <w:rPr>
          <w:rFonts w:ascii="Times New Roman" w:hAnsi="Times New Roman" w:cs="Times New Roman"/>
          <w:sz w:val="24"/>
          <w:szCs w:val="24"/>
        </w:rPr>
        <w:t>UN</w:t>
      </w:r>
      <w:r w:rsidR="005A6C91">
        <w:rPr>
          <w:rFonts w:ascii="Times New Roman" w:hAnsi="Times New Roman" w:cs="Times New Roman"/>
          <w:sz w:val="24"/>
          <w:szCs w:val="24"/>
        </w:rPr>
        <w:t xml:space="preserve"> PILAR </w:t>
      </w:r>
      <w:r w:rsidR="009F2821">
        <w:rPr>
          <w:rFonts w:ascii="Times New Roman" w:hAnsi="Times New Roman" w:cs="Times New Roman"/>
          <w:sz w:val="24"/>
          <w:szCs w:val="24"/>
        </w:rPr>
        <w:t xml:space="preserve">ESTRATÉGICO </w:t>
      </w:r>
      <w:r w:rsidR="005A6C91">
        <w:rPr>
          <w:rFonts w:ascii="Times New Roman" w:hAnsi="Times New Roman" w:cs="Times New Roman"/>
          <w:sz w:val="24"/>
          <w:szCs w:val="24"/>
        </w:rPr>
        <w:t>DEL SECTOR EXTERNO ¿</w:t>
      </w:r>
      <w:r w:rsidR="009548D7">
        <w:rPr>
          <w:rFonts w:ascii="Times New Roman" w:hAnsi="Times New Roman" w:cs="Times New Roman"/>
          <w:sz w:val="24"/>
          <w:szCs w:val="24"/>
        </w:rPr>
        <w:t xml:space="preserve">ALGO </w:t>
      </w:r>
      <w:r w:rsidR="00385BA3">
        <w:rPr>
          <w:rFonts w:ascii="Times New Roman" w:hAnsi="Times New Roman" w:cs="Times New Roman"/>
          <w:sz w:val="24"/>
          <w:szCs w:val="24"/>
        </w:rPr>
        <w:t>DIGNO DE</w:t>
      </w:r>
      <w:r w:rsidR="009548D7">
        <w:rPr>
          <w:rFonts w:ascii="Times New Roman" w:hAnsi="Times New Roman" w:cs="Times New Roman"/>
          <w:sz w:val="24"/>
          <w:szCs w:val="24"/>
        </w:rPr>
        <w:t xml:space="preserve"> CELEBRARSE</w:t>
      </w:r>
      <w:r w:rsidR="005A6C91">
        <w:rPr>
          <w:rFonts w:ascii="Times New Roman" w:hAnsi="Times New Roman" w:cs="Times New Roman"/>
          <w:sz w:val="24"/>
          <w:szCs w:val="24"/>
        </w:rPr>
        <w:t>?</w:t>
      </w:r>
      <w:r>
        <w:rPr>
          <w:rFonts w:ascii="Times New Roman" w:hAnsi="Times New Roman" w:cs="Times New Roman"/>
          <w:sz w:val="24"/>
          <w:szCs w:val="24"/>
        </w:rPr>
        <w:t xml:space="preserve"> </w:t>
      </w:r>
    </w:p>
    <w:p w:rsidR="00BB183D" w:rsidRDefault="00BB183D" w:rsidP="00BB183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B de M: </w:t>
      </w:r>
      <w:r w:rsidRPr="00A838AC">
        <w:rPr>
          <w:rFonts w:ascii="Times New Roman" w:hAnsi="Times New Roman" w:cs="Times New Roman"/>
          <w:i/>
          <w:sz w:val="24"/>
          <w:szCs w:val="24"/>
        </w:rPr>
        <w:t xml:space="preserve">Siguen las remesas como fuente central </w:t>
      </w:r>
    </w:p>
    <w:p w:rsidR="00BB183D" w:rsidRDefault="00BB183D" w:rsidP="00BB183D">
      <w:pPr>
        <w:spacing w:after="0" w:line="240" w:lineRule="auto"/>
        <w:jc w:val="right"/>
        <w:rPr>
          <w:rFonts w:ascii="Times New Roman" w:hAnsi="Times New Roman" w:cs="Times New Roman"/>
          <w:i/>
          <w:sz w:val="24"/>
          <w:szCs w:val="24"/>
        </w:rPr>
      </w:pPr>
      <w:r w:rsidRPr="00A838AC">
        <w:rPr>
          <w:rFonts w:ascii="Times New Roman" w:hAnsi="Times New Roman" w:cs="Times New Roman"/>
          <w:i/>
          <w:sz w:val="24"/>
          <w:szCs w:val="24"/>
        </w:rPr>
        <w:t>de divisas del país</w:t>
      </w:r>
      <w:r>
        <w:rPr>
          <w:rFonts w:ascii="Times New Roman" w:hAnsi="Times New Roman" w:cs="Times New Roman"/>
          <w:i/>
          <w:sz w:val="24"/>
          <w:szCs w:val="24"/>
        </w:rPr>
        <w:t xml:space="preserve">.15% por arriba de las </w:t>
      </w:r>
    </w:p>
    <w:p w:rsidR="00BB183D" w:rsidRDefault="00BB183D" w:rsidP="00BB183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exportaciones petroleras.</w:t>
      </w:r>
    </w:p>
    <w:p w:rsidR="00BB183D" w:rsidRPr="00A838AC" w:rsidRDefault="00BB183D" w:rsidP="00BB183D">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La Jornada, 2 de junio de 2015</w:t>
      </w:r>
    </w:p>
    <w:p w:rsidR="00BB183D" w:rsidRDefault="00BB183D" w:rsidP="00C458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4DF8" w:rsidRDefault="00214DF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comparar los montos totales de divisas aportados por cada una de las cuatro fuentes consideradas en el periodo completo de 1994 a 2013, destacan la importancia relativa de las remesas para la economía mexicana, el estancamiento del sector turístico, la creciente dependencia de las importaciones del sector petrolero y la incertidumbre e imprevisibilidad de la inversión extranjera como motor del crecimiento económico del país. </w:t>
      </w:r>
    </w:p>
    <w:p w:rsidR="00214DF8" w:rsidRDefault="00214DF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Debido a que la información acerca de la IME sólo está disponible a partir de 2001, la comparación entre los cuatro rubros se hará únicamente a partir de este año. Para el periodo 1994-2000, sólo se pueden comparar los ingresos de divisas del turismo, el petróleo y las remesas. En estos años (cuadro </w:t>
      </w:r>
      <w:r w:rsidR="002B39CA">
        <w:rPr>
          <w:rFonts w:ascii="Times New Roman" w:hAnsi="Times New Roman" w:cs="Times New Roman"/>
          <w:sz w:val="24"/>
          <w:szCs w:val="24"/>
        </w:rPr>
        <w:t># 5</w:t>
      </w:r>
      <w:r>
        <w:rPr>
          <w:rFonts w:ascii="Times New Roman" w:hAnsi="Times New Roman" w:cs="Times New Roman"/>
          <w:sz w:val="24"/>
          <w:szCs w:val="24"/>
        </w:rPr>
        <w:t xml:space="preserve">), el petróleo aportó la mayor cantidad de divisas, con un total de 43.3 mmd (promedio anual de 6.2 mmd); mientras que el turismo contribuyó con sólo 19.6 mmd (promedio de 2.8 mmd por año). Las remesas, por su parte, fueron de 34.3 mmd (promedio de 4.9 mmd anuales). En total, de los 97.3 mmd de divisas captados por estas fuentes, el 20.1% fue aportado por el turismo, el 44.5% por el petróleo y el 35.3% por las remesas. Sin embargo, cabe señalar que el peso relativo de éstas es ya desde entonces creciente y que en 1999 su aporte fue del 43.1% del total, superior al del petróleo, que fue del 37.2%. </w:t>
      </w:r>
    </w:p>
    <w:p w:rsidR="00214DF8" w:rsidRDefault="00214DF8" w:rsidP="00642948">
      <w:pPr>
        <w:spacing w:line="360" w:lineRule="auto"/>
        <w:rPr>
          <w:rFonts w:ascii="Times New Roman" w:hAnsi="Times New Roman" w:cs="Times New Roman"/>
          <w:sz w:val="24"/>
          <w:szCs w:val="24"/>
        </w:rPr>
      </w:pPr>
    </w:p>
    <w:tbl>
      <w:tblPr>
        <w:tblStyle w:val="Tablaconcuadrcula"/>
        <w:tblW w:w="0" w:type="auto"/>
        <w:tblLayout w:type="fixed"/>
        <w:tblLook w:val="04A0"/>
      </w:tblPr>
      <w:tblGrid>
        <w:gridCol w:w="1200"/>
        <w:gridCol w:w="1460"/>
        <w:gridCol w:w="1559"/>
        <w:gridCol w:w="1559"/>
        <w:gridCol w:w="1422"/>
      </w:tblGrid>
      <w:tr w:rsidR="00A159A5" w:rsidRPr="009E46C8" w:rsidTr="00BE3BB5">
        <w:trPr>
          <w:trHeight w:val="645"/>
        </w:trPr>
        <w:tc>
          <w:tcPr>
            <w:tcW w:w="7200" w:type="dxa"/>
            <w:gridSpan w:val="5"/>
            <w:hideMark/>
          </w:tcPr>
          <w:p w:rsidR="00C400BE" w:rsidRDefault="00C400BE" w:rsidP="00AB6346">
            <w:pPr>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Cuadro # 5</w:t>
            </w:r>
          </w:p>
          <w:p w:rsidR="00A159A5" w:rsidRPr="00AB6346" w:rsidRDefault="00A159A5" w:rsidP="00AB6346">
            <w:pPr>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Comparativo de los saldos de la inversión extranjera, el turismo, las transacciones petroleras y las remesas, 1994-2000</w:t>
            </w:r>
            <w:r w:rsidR="00AB6346">
              <w:rPr>
                <w:rFonts w:ascii="Times New Roman" w:eastAsia="Times New Roman" w:hAnsi="Times New Roman" w:cs="Times New Roman"/>
                <w:color w:val="000000"/>
                <w:sz w:val="24"/>
                <w:szCs w:val="24"/>
                <w:lang w:eastAsia="es-MX"/>
              </w:rPr>
              <w:t xml:space="preserve"> (%)</w:t>
            </w:r>
          </w:p>
        </w:tc>
      </w:tr>
      <w:tr w:rsidR="00A159A5" w:rsidRPr="009E46C8" w:rsidTr="00BE3BB5">
        <w:trPr>
          <w:trHeight w:val="645"/>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br w:type="page"/>
            </w:r>
            <w:r w:rsidRPr="009E46C8">
              <w:rPr>
                <w:rFonts w:ascii="Times New Roman" w:hAnsi="Times New Roman" w:cs="Times New Roman"/>
                <w:sz w:val="24"/>
                <w:szCs w:val="24"/>
              </w:rPr>
              <w:t>Año</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Turismo</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Petró</w:t>
            </w:r>
            <w:r w:rsidRPr="009E46C8">
              <w:rPr>
                <w:rFonts w:ascii="Times New Roman" w:hAnsi="Times New Roman" w:cs="Times New Roman"/>
                <w:sz w:val="24"/>
                <w:szCs w:val="24"/>
              </w:rPr>
              <w:t>le</w:t>
            </w:r>
            <w:r>
              <w:rPr>
                <w:rFonts w:ascii="Times New Roman" w:hAnsi="Times New Roman" w:cs="Times New Roman"/>
                <w:sz w:val="24"/>
                <w:szCs w:val="24"/>
              </w:rPr>
              <w:t>o</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r w:rsidRPr="009E46C8">
              <w:rPr>
                <w:rFonts w:ascii="Times New Roman" w:hAnsi="Times New Roman" w:cs="Times New Roman"/>
                <w:sz w:val="24"/>
                <w:szCs w:val="24"/>
              </w:rPr>
              <w:t>emesas</w:t>
            </w:r>
          </w:p>
        </w:tc>
        <w:tc>
          <w:tcPr>
            <w:tcW w:w="1422" w:type="dxa"/>
          </w:tcPr>
          <w:p w:rsidR="00A159A5" w:rsidRDefault="00A159A5" w:rsidP="00BE3BB5">
            <w:pPr>
              <w:jc w:val="center"/>
              <w:rPr>
                <w:rFonts w:ascii="Times New Roman" w:hAnsi="Times New Roman" w:cs="Times New Roman"/>
                <w:sz w:val="24"/>
                <w:szCs w:val="24"/>
              </w:rPr>
            </w:pPr>
            <w:r>
              <w:rPr>
                <w:rFonts w:ascii="Times New Roman" w:hAnsi="Times New Roman" w:cs="Times New Roman"/>
                <w:sz w:val="24"/>
                <w:szCs w:val="24"/>
              </w:rPr>
              <w:t>Total</w:t>
            </w:r>
          </w:p>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(mmd)</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1994</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36.1</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9.7</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1995</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47.2</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12.7</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1996</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20.9</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53.4</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16.3</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1997</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45.5</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15.4</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1998</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12.0</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1999</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43.1</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13.7</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sidRPr="009E46C8">
              <w:rPr>
                <w:rFonts w:ascii="Times New Roman" w:hAnsi="Times New Roman" w:cs="Times New Roman"/>
                <w:sz w:val="24"/>
                <w:szCs w:val="24"/>
              </w:rPr>
              <w:t>2000</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46.9</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sidRPr="009E46C8">
              <w:rPr>
                <w:rFonts w:ascii="Times New Roman" w:eastAsia="Times New Roman" w:hAnsi="Times New Roman" w:cs="Times New Roman"/>
                <w:color w:val="000000"/>
                <w:sz w:val="24"/>
                <w:szCs w:val="24"/>
                <w:lang w:eastAsia="es-MX"/>
              </w:rPr>
              <w:t>17.5</w:t>
            </w:r>
          </w:p>
        </w:tc>
      </w:tr>
      <w:tr w:rsidR="00A159A5" w:rsidRPr="009E46C8" w:rsidTr="00BE3BB5">
        <w:trPr>
          <w:trHeight w:val="330"/>
        </w:trPr>
        <w:tc>
          <w:tcPr>
            <w:tcW w:w="120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460"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44.5</w:t>
            </w:r>
          </w:p>
        </w:tc>
        <w:tc>
          <w:tcPr>
            <w:tcW w:w="1559" w:type="dxa"/>
            <w:hideMark/>
          </w:tcPr>
          <w:p w:rsidR="00A159A5" w:rsidRPr="009E46C8" w:rsidRDefault="00A159A5" w:rsidP="00BE3BB5">
            <w:pPr>
              <w:spacing w:line="360" w:lineRule="auto"/>
              <w:jc w:val="center"/>
              <w:rPr>
                <w:rFonts w:ascii="Times New Roman" w:hAnsi="Times New Roman" w:cs="Times New Roman"/>
                <w:sz w:val="24"/>
                <w:szCs w:val="24"/>
              </w:rPr>
            </w:pPr>
            <w:r>
              <w:rPr>
                <w:rFonts w:ascii="Times New Roman" w:hAnsi="Times New Roman" w:cs="Times New Roman"/>
                <w:sz w:val="24"/>
                <w:szCs w:val="24"/>
              </w:rPr>
              <w:t>35.3</w:t>
            </w:r>
          </w:p>
        </w:tc>
        <w:tc>
          <w:tcPr>
            <w:tcW w:w="1422" w:type="dxa"/>
            <w:vAlign w:val="bottom"/>
          </w:tcPr>
          <w:p w:rsidR="00A159A5" w:rsidRPr="009E46C8" w:rsidRDefault="00A159A5" w:rsidP="00BE3BB5">
            <w:pPr>
              <w:spacing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97.3</w:t>
            </w:r>
          </w:p>
        </w:tc>
      </w:tr>
      <w:tr w:rsidR="00A159A5" w:rsidRPr="009E46C8" w:rsidTr="00BE3BB5">
        <w:trPr>
          <w:trHeight w:val="330"/>
        </w:trPr>
        <w:tc>
          <w:tcPr>
            <w:tcW w:w="7200" w:type="dxa"/>
            <w:gridSpan w:val="5"/>
            <w:hideMark/>
          </w:tcPr>
          <w:p w:rsidR="00A159A5" w:rsidRPr="00A159A5" w:rsidRDefault="00A159A5" w:rsidP="00BE3BB5">
            <w:pPr>
              <w:spacing w:line="360" w:lineRule="auto"/>
              <w:jc w:val="both"/>
              <w:rPr>
                <w:rFonts w:ascii="Times New Roman" w:eastAsia="Times New Roman" w:hAnsi="Times New Roman" w:cs="Times New Roman"/>
                <w:color w:val="000000"/>
                <w:sz w:val="20"/>
                <w:szCs w:val="20"/>
                <w:lang w:eastAsia="es-MX"/>
              </w:rPr>
            </w:pPr>
            <w:r w:rsidRPr="00A159A5">
              <w:rPr>
                <w:rFonts w:ascii="Times New Roman" w:eastAsia="Times New Roman" w:hAnsi="Times New Roman" w:cs="Times New Roman"/>
                <w:color w:val="000000"/>
                <w:sz w:val="20"/>
                <w:szCs w:val="20"/>
                <w:lang w:eastAsia="es-MX"/>
              </w:rPr>
              <w:t xml:space="preserve">Fuente: </w:t>
            </w:r>
            <w:r>
              <w:rPr>
                <w:rFonts w:ascii="Times New Roman" w:eastAsia="Times New Roman" w:hAnsi="Times New Roman" w:cs="Times New Roman"/>
                <w:color w:val="000000"/>
                <w:sz w:val="20"/>
                <w:szCs w:val="20"/>
                <w:lang w:eastAsia="es-MX"/>
              </w:rPr>
              <w:t>Cuadro # 1 y Gráficas # 2, 3 y 5</w:t>
            </w:r>
          </w:p>
        </w:tc>
      </w:tr>
    </w:tbl>
    <w:p w:rsidR="00214DF8" w:rsidRDefault="00214DF8" w:rsidP="00A159A5">
      <w:pPr>
        <w:spacing w:after="0" w:line="240" w:lineRule="auto"/>
      </w:pPr>
    </w:p>
    <w:p w:rsidR="00214DF8" w:rsidRDefault="00214DF8" w:rsidP="00642948">
      <w:pPr>
        <w:spacing w:after="0" w:line="360" w:lineRule="auto"/>
        <w:jc w:val="both"/>
        <w:rPr>
          <w:rFonts w:ascii="Times New Roman" w:hAnsi="Times New Roman" w:cs="Times New Roman"/>
          <w:sz w:val="24"/>
          <w:szCs w:val="24"/>
        </w:rPr>
      </w:pPr>
      <w:r w:rsidRPr="00A1130B">
        <w:rPr>
          <w:rFonts w:ascii="Times New Roman" w:hAnsi="Times New Roman" w:cs="Times New Roman"/>
          <w:sz w:val="24"/>
          <w:szCs w:val="24"/>
        </w:rPr>
        <w:t>A partir del año 2000</w:t>
      </w:r>
      <w:r>
        <w:rPr>
          <w:rFonts w:ascii="Times New Roman" w:hAnsi="Times New Roman" w:cs="Times New Roman"/>
          <w:sz w:val="24"/>
          <w:szCs w:val="24"/>
        </w:rPr>
        <w:t xml:space="preserve"> y </w:t>
      </w:r>
      <w:r w:rsidR="00DE6C00">
        <w:rPr>
          <w:rFonts w:ascii="Times New Roman" w:hAnsi="Times New Roman" w:cs="Times New Roman"/>
          <w:sz w:val="24"/>
          <w:szCs w:val="24"/>
        </w:rPr>
        <w:t>hasta el 2013 (Gráfica</w:t>
      </w:r>
      <w:r>
        <w:rPr>
          <w:rFonts w:ascii="Times New Roman" w:hAnsi="Times New Roman" w:cs="Times New Roman"/>
          <w:sz w:val="24"/>
          <w:szCs w:val="24"/>
        </w:rPr>
        <w:t xml:space="preserve"> #</w:t>
      </w:r>
      <w:r w:rsidR="002B39CA">
        <w:rPr>
          <w:rFonts w:ascii="Times New Roman" w:hAnsi="Times New Roman" w:cs="Times New Roman"/>
          <w:sz w:val="24"/>
          <w:szCs w:val="24"/>
        </w:rPr>
        <w:t xml:space="preserve"> 5</w:t>
      </w:r>
      <w:r>
        <w:rPr>
          <w:rFonts w:ascii="Times New Roman" w:hAnsi="Times New Roman" w:cs="Times New Roman"/>
          <w:sz w:val="24"/>
          <w:szCs w:val="24"/>
        </w:rPr>
        <w:t>), las cuatro fuentes de divisas aquí consideradas muestran trayectorias marcadamente diferenciadas tanto en el tiempo como en los montos; en tanto que en general se puede apreciar a lo largo del periodo una clara tendencia de las remesas a convertirse en la principal de ellas. Observando el total de los aportes particulares al total de divisas captadas (678.7 mmd), puede ubicarse a las remesas en el primer sitio, con un agregado de 259.7 mmd (39.4% del total y un promedio de 20.0 mmd anuales) y al turismo en el último, con sólo 52.2 mmd (7.8% y 4.0 mmd, respectivamente). En el medio se encuentra la balanza de inversiones, con 207.3 mmd (28.6% y 15.9 mmd) y la petrolera, con 159.5 mmd (24.2% y 12.3 mmd).</w:t>
      </w:r>
    </w:p>
    <w:p w:rsidR="00214DF8" w:rsidRDefault="00214DF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Resulta interesante, por lo demás, observar tanto por separado como en comparación las trayectorias diferenciadas de cada una de las cuatro. La más débil, la del saldo turístico, es al </w:t>
      </w:r>
      <w:r w:rsidR="002B39CA">
        <w:rPr>
          <w:rFonts w:ascii="Times New Roman" w:hAnsi="Times New Roman" w:cs="Times New Roman"/>
          <w:sz w:val="24"/>
          <w:szCs w:val="24"/>
        </w:rPr>
        <w:t>mismo tiempo la más estable,</w:t>
      </w:r>
      <w:r>
        <w:rPr>
          <w:rFonts w:ascii="Times New Roman" w:hAnsi="Times New Roman" w:cs="Times New Roman"/>
          <w:sz w:val="24"/>
          <w:szCs w:val="24"/>
        </w:rPr>
        <w:t xml:space="preserve"> más incluso que las remesas. A lo largo de estos años, su aporte va ascendiendo de manera muy leve pero constante (2006 es la moderada excepción), hasta alcanzar en 2008 por primera vez su tope histórico de 4.8 mmd, para después oscilar por encima de los 4 mmd y por debajo de los 5 mmd hasta 2013 (nuevamente en el tope de 4.8 mmd).</w:t>
      </w:r>
    </w:p>
    <w:p w:rsidR="00214DF8" w:rsidRPr="00015F1D" w:rsidRDefault="00214DF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15F1D">
        <w:rPr>
          <w:rFonts w:ascii="Times New Roman" w:hAnsi="Times New Roman" w:cs="Times New Roman"/>
          <w:sz w:val="24"/>
          <w:szCs w:val="24"/>
        </w:rPr>
        <w:t xml:space="preserve">En el extremo contario en cuanto a estabilidad, se encuentra la balanza de inversiones directas, que muestra las mayores oscilaciones de las cuatro. En efecto, aun en </w:t>
      </w:r>
      <w:r w:rsidRPr="00015F1D">
        <w:rPr>
          <w:rFonts w:ascii="Times New Roman" w:hAnsi="Times New Roman" w:cs="Times New Roman"/>
          <w:sz w:val="24"/>
          <w:szCs w:val="24"/>
        </w:rPr>
        <w:lastRenderedPageBreak/>
        <w:t xml:space="preserve">su mejor periodo (2001-2008), con un promedio anual de 21.2 mmd, muestra cimas y simas muy distanciadas entre sí en monto, pero muy cercanas en el tiempo. Como ejemplo, de los 23.9 mmd de 2002 se pasa a los 17.4 mmd de 2003; y de los 14.5 mmd de 2006 a los 23.1 mmd de 2007. Esa inestabilidad puede atribuirse, por supuesto, a lo sensible que es esta balanza de las decisiones de inversión o desinversión de una sola gran empresa o consorcio en el año correspondiente, como se ha señalado antes en el texto. Cuando a esto se suma la presencia de la crisis, se tiene un desplome a sólo 8.2 mmd como promedio anual en los años 2009, 2010 y 2011 y la brutal caída al saldo negativo de -12.2 mmd de 2012. Sobre la recuperación a los 25.2 mmd de 2013 debe recordarse la compra de la cervecería Modelo por capital extranjero. Para la comparación </w:t>
      </w:r>
      <w:r w:rsidR="00C458F2">
        <w:rPr>
          <w:rFonts w:ascii="Times New Roman" w:hAnsi="Times New Roman" w:cs="Times New Roman"/>
          <w:sz w:val="24"/>
          <w:szCs w:val="24"/>
        </w:rPr>
        <w:t>de los años por venir</w:t>
      </w:r>
      <w:r w:rsidRPr="00015F1D">
        <w:rPr>
          <w:rFonts w:ascii="Times New Roman" w:hAnsi="Times New Roman" w:cs="Times New Roman"/>
          <w:sz w:val="24"/>
          <w:szCs w:val="24"/>
        </w:rPr>
        <w:t>, será necesario desarrollar una metodología que tome en cuenta el efecto de las reformas estructurales en el contexto de la débil recuperación de la economía mundial.</w:t>
      </w:r>
    </w:p>
    <w:p w:rsidR="00214DF8" w:rsidRPr="00015F1D" w:rsidRDefault="00214DF8" w:rsidP="00642948">
      <w:pPr>
        <w:spacing w:after="0" w:line="360" w:lineRule="auto"/>
        <w:jc w:val="both"/>
        <w:rPr>
          <w:rFonts w:ascii="Times New Roman" w:hAnsi="Times New Roman" w:cs="Times New Roman"/>
          <w:sz w:val="24"/>
          <w:szCs w:val="24"/>
        </w:rPr>
      </w:pPr>
      <w:r w:rsidRPr="00015F1D">
        <w:rPr>
          <w:rFonts w:ascii="Times New Roman" w:hAnsi="Times New Roman" w:cs="Times New Roman"/>
          <w:sz w:val="24"/>
          <w:szCs w:val="24"/>
        </w:rPr>
        <w:tab/>
        <w:t>En el caso del petróleo, la inestabilidad de su comportamiento está mucho más directamente vinculado temporalmente a la crisis. En los primeros años del siglo, el crecimiento de su saldo es tanto constante como significativo. Pasa de sólo 5.5 mmd en 2001 a 19.4 mmd en 2006 (promedio de 12.8 mmd anuales); pero la crisis lo lleva a una caída casi vertical a partir de 2007 y hasta 2013 (hay una ligera recuperación transitoria en 2011), cuando desciende de los ya mencionados 19.4 mmd de 2006 a los muy modestos 8.6 mmd del último año de los 20 del TLCAN. El promedio de estos años es de sólo 12.7 mmd anuales. Caen las importaciones, sobre todo norteamericanas de crudo, pero México no puede dejar de importar derivados</w:t>
      </w:r>
      <w:r w:rsidR="008F63CD">
        <w:rPr>
          <w:rFonts w:ascii="Times New Roman" w:hAnsi="Times New Roman" w:cs="Times New Roman"/>
          <w:sz w:val="24"/>
          <w:szCs w:val="24"/>
        </w:rPr>
        <w:t>, cuya capacidad de producción interna</w:t>
      </w:r>
      <w:r w:rsidRPr="00015F1D">
        <w:rPr>
          <w:rFonts w:ascii="Times New Roman" w:hAnsi="Times New Roman" w:cs="Times New Roman"/>
          <w:sz w:val="24"/>
          <w:szCs w:val="24"/>
        </w:rPr>
        <w:t xml:space="preserve"> ha decidido </w:t>
      </w:r>
      <w:r w:rsidR="008F63CD">
        <w:rPr>
          <w:rFonts w:ascii="Times New Roman" w:hAnsi="Times New Roman" w:cs="Times New Roman"/>
          <w:sz w:val="24"/>
          <w:szCs w:val="24"/>
        </w:rPr>
        <w:t xml:space="preserve">dejar de incrementar </w:t>
      </w:r>
      <w:r w:rsidRPr="00015F1D">
        <w:rPr>
          <w:rFonts w:ascii="Times New Roman" w:hAnsi="Times New Roman" w:cs="Times New Roman"/>
          <w:sz w:val="24"/>
          <w:szCs w:val="24"/>
        </w:rPr>
        <w:t xml:space="preserve">desde el inicio del periodo neoliberal. La comparación con los siguientes años, los de la </w:t>
      </w:r>
      <w:r w:rsidRPr="00015F1D">
        <w:rPr>
          <w:rFonts w:ascii="Times New Roman" w:hAnsi="Times New Roman" w:cs="Times New Roman"/>
          <w:i/>
          <w:sz w:val="24"/>
          <w:szCs w:val="24"/>
        </w:rPr>
        <w:t>nueva guerra de precios petroleros</w:t>
      </w:r>
      <w:r w:rsidRPr="00015F1D">
        <w:rPr>
          <w:rFonts w:ascii="Times New Roman" w:hAnsi="Times New Roman" w:cs="Times New Roman"/>
          <w:sz w:val="24"/>
          <w:szCs w:val="24"/>
        </w:rPr>
        <w:t xml:space="preserve"> y de la reforma energética, tendrá que hacerse, como en el caso de las inversiones, con nuevos recursos metodológicos.</w:t>
      </w:r>
    </w:p>
    <w:p w:rsidR="00214DF8" w:rsidRDefault="00214DF8" w:rsidP="00642948">
      <w:pPr>
        <w:spacing w:after="0" w:line="360" w:lineRule="auto"/>
        <w:jc w:val="both"/>
        <w:rPr>
          <w:rFonts w:ascii="Times New Roman" w:hAnsi="Times New Roman" w:cs="Times New Roman"/>
          <w:sz w:val="24"/>
          <w:szCs w:val="24"/>
        </w:rPr>
      </w:pPr>
      <w:r w:rsidRPr="00015F1D">
        <w:rPr>
          <w:rFonts w:ascii="Times New Roman" w:hAnsi="Times New Roman" w:cs="Times New Roman"/>
          <w:sz w:val="24"/>
          <w:szCs w:val="24"/>
        </w:rPr>
        <w:tab/>
        <w:t>Frente al resto de los saldos analizados, las remesas presentan, como se ha dicho, el crecimiento más sostenido hasta 2007 (de 8.9 mmd a 26.1 mmd), para después descender moderadamente durante los años de la crisis (a un valle de 21.3 mmd en 2009 y 2010) y presentar en 2013 una ligera recuperación (promedio anual de 22.4 mmd entre 2011 y 2013)</w:t>
      </w:r>
      <w:r w:rsidRPr="00015F1D">
        <w:rPr>
          <w:rStyle w:val="Refdenotaalpie"/>
          <w:rFonts w:ascii="Times New Roman" w:hAnsi="Times New Roman" w:cs="Times New Roman"/>
          <w:sz w:val="24"/>
          <w:szCs w:val="24"/>
        </w:rPr>
        <w:footnoteReference w:id="24"/>
      </w:r>
      <w:r w:rsidRPr="00015F1D">
        <w:rPr>
          <w:rFonts w:ascii="Times New Roman" w:hAnsi="Times New Roman" w:cs="Times New Roman"/>
          <w:sz w:val="24"/>
          <w:szCs w:val="24"/>
        </w:rPr>
        <w:t>.</w:t>
      </w:r>
    </w:p>
    <w:p w:rsidR="00214DF8" w:rsidRDefault="00214DF8" w:rsidP="00642948">
      <w:pPr>
        <w:spacing w:after="0" w:line="360" w:lineRule="auto"/>
        <w:rPr>
          <w:rFonts w:ascii="Times New Roman" w:hAnsi="Times New Roman" w:cs="Times New Roman"/>
          <w:sz w:val="24"/>
          <w:szCs w:val="24"/>
        </w:rPr>
      </w:pPr>
    </w:p>
    <w:tbl>
      <w:tblPr>
        <w:tblStyle w:val="Tablaconcuadrcula"/>
        <w:tblW w:w="0" w:type="auto"/>
        <w:tblLook w:val="04A0"/>
      </w:tblPr>
      <w:tblGrid>
        <w:gridCol w:w="9054"/>
      </w:tblGrid>
      <w:tr w:rsidR="00243EF2" w:rsidTr="00243EF2">
        <w:tc>
          <w:tcPr>
            <w:tcW w:w="9054" w:type="dxa"/>
          </w:tcPr>
          <w:p w:rsidR="00243EF2" w:rsidRPr="00BD070F" w:rsidRDefault="00243EF2" w:rsidP="0055468D">
            <w:pPr>
              <w:jc w:val="center"/>
              <w:rPr>
                <w:rFonts w:ascii="Times New Roman" w:hAnsi="Times New Roman" w:cs="Times New Roman"/>
                <w:b/>
                <w:sz w:val="24"/>
                <w:szCs w:val="24"/>
              </w:rPr>
            </w:pPr>
            <w:r w:rsidRPr="00BD070F">
              <w:rPr>
                <w:rFonts w:ascii="Times New Roman" w:hAnsi="Times New Roman" w:cs="Times New Roman"/>
                <w:b/>
                <w:sz w:val="24"/>
                <w:szCs w:val="24"/>
              </w:rPr>
              <w:lastRenderedPageBreak/>
              <w:t>G</w:t>
            </w:r>
            <w:r w:rsidR="00BD070F" w:rsidRPr="00BD070F">
              <w:rPr>
                <w:rFonts w:ascii="Times New Roman" w:hAnsi="Times New Roman" w:cs="Times New Roman"/>
                <w:b/>
                <w:sz w:val="24"/>
                <w:szCs w:val="24"/>
              </w:rPr>
              <w:t>ráfica</w:t>
            </w:r>
            <w:r w:rsidRPr="00BD070F">
              <w:rPr>
                <w:rFonts w:ascii="Times New Roman" w:hAnsi="Times New Roman" w:cs="Times New Roman"/>
                <w:b/>
                <w:sz w:val="24"/>
                <w:szCs w:val="24"/>
              </w:rPr>
              <w:t xml:space="preserve"> # 5</w:t>
            </w:r>
          </w:p>
          <w:p w:rsidR="00243EF2" w:rsidRDefault="00243EF2" w:rsidP="00243EF2">
            <w:pPr>
              <w:jc w:val="center"/>
              <w:rPr>
                <w:rFonts w:ascii="Times New Roman" w:hAnsi="Times New Roman" w:cs="Times New Roman"/>
                <w:sz w:val="24"/>
                <w:szCs w:val="24"/>
              </w:rPr>
            </w:pPr>
            <w:r>
              <w:rPr>
                <w:rFonts w:ascii="Times New Roman" w:hAnsi="Times New Roman" w:cs="Times New Roman"/>
                <w:sz w:val="24"/>
                <w:szCs w:val="24"/>
              </w:rPr>
              <w:t>MÉXICO: APORTACIÓN NETA DE DIVISAS DE LOS SALDOS DE INVERSIÓN EXTRANJERA, TURISMO, PETRÓLEO Y REMESAS (mmd)</w:t>
            </w:r>
          </w:p>
        </w:tc>
      </w:tr>
    </w:tbl>
    <w:p w:rsidR="00243EF2" w:rsidRDefault="00243EF2" w:rsidP="00642948">
      <w:pPr>
        <w:spacing w:after="0" w:line="360" w:lineRule="auto"/>
        <w:rPr>
          <w:rFonts w:ascii="Times New Roman" w:hAnsi="Times New Roman" w:cs="Times New Roman"/>
          <w:sz w:val="24"/>
          <w:szCs w:val="24"/>
        </w:rPr>
      </w:pPr>
      <w:r w:rsidRPr="00243EF2">
        <w:rPr>
          <w:rFonts w:ascii="Times New Roman" w:hAnsi="Times New Roman" w:cs="Times New Roman"/>
          <w:noProof/>
          <w:sz w:val="24"/>
          <w:szCs w:val="24"/>
          <w:lang w:eastAsia="es-MX"/>
        </w:rPr>
        <w:drawing>
          <wp:inline distT="0" distB="0" distL="0" distR="0">
            <wp:extent cx="5612130" cy="2778763"/>
            <wp:effectExtent l="19050" t="0" r="26670" b="2537"/>
            <wp:docPr id="22"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aconcuadrcula"/>
        <w:tblW w:w="0" w:type="auto"/>
        <w:tblLook w:val="04A0"/>
      </w:tblPr>
      <w:tblGrid>
        <w:gridCol w:w="9054"/>
      </w:tblGrid>
      <w:tr w:rsidR="00243EF2" w:rsidTr="0055468D">
        <w:tc>
          <w:tcPr>
            <w:tcW w:w="13144" w:type="dxa"/>
          </w:tcPr>
          <w:p w:rsidR="00243EF2" w:rsidRPr="00F15845" w:rsidRDefault="00243EF2" w:rsidP="0055468D">
            <w:pPr>
              <w:rPr>
                <w:rFonts w:ascii="Times New Roman" w:hAnsi="Times New Roman" w:cs="Times New Roman"/>
                <w:sz w:val="20"/>
                <w:szCs w:val="20"/>
              </w:rPr>
            </w:pPr>
            <w:r>
              <w:rPr>
                <w:rFonts w:ascii="Times New Roman" w:hAnsi="Times New Roman" w:cs="Times New Roman"/>
                <w:sz w:val="20"/>
                <w:szCs w:val="20"/>
              </w:rPr>
              <w:t>Fuente: Elaboración propia con datos de las gráficas # 1, 2, 3 y 4</w:t>
            </w:r>
          </w:p>
        </w:tc>
      </w:tr>
    </w:tbl>
    <w:p w:rsidR="00243EF2" w:rsidRDefault="00243EF2" w:rsidP="00642948">
      <w:pPr>
        <w:spacing w:after="0" w:line="360" w:lineRule="auto"/>
        <w:rPr>
          <w:rFonts w:ascii="Times New Roman" w:hAnsi="Times New Roman" w:cs="Times New Roman"/>
          <w:sz w:val="24"/>
          <w:szCs w:val="24"/>
        </w:rPr>
      </w:pPr>
    </w:p>
    <w:p w:rsidR="00214DF8" w:rsidRPr="00197E6D" w:rsidRDefault="00214DF8" w:rsidP="00642948">
      <w:pPr>
        <w:spacing w:after="0" w:line="360" w:lineRule="auto"/>
        <w:jc w:val="both"/>
        <w:rPr>
          <w:rFonts w:ascii="Times New Roman" w:hAnsi="Times New Roman" w:cs="Times New Roman"/>
          <w:sz w:val="24"/>
          <w:szCs w:val="24"/>
        </w:rPr>
      </w:pPr>
      <w:r w:rsidRPr="00197E6D">
        <w:rPr>
          <w:rFonts w:ascii="Times New Roman" w:hAnsi="Times New Roman" w:cs="Times New Roman"/>
          <w:sz w:val="24"/>
          <w:szCs w:val="24"/>
        </w:rPr>
        <w:t xml:space="preserve">Para poner en su justa dimensión la importancia de las remesas en la generación de divisas en el periodo del TLCAN, resulta interesante comparar la trayectoria de las aportaciones anuales relativas de cada uno de los cuatro rubros considerados en este análisis. Por su particularidad extrema, derivada del saldo negativo de las inversiones de capital, se considerará el año de 2012 por separado. </w:t>
      </w:r>
    </w:p>
    <w:p w:rsidR="00214DF8" w:rsidRPr="00197E6D" w:rsidRDefault="00214DF8" w:rsidP="00642948">
      <w:pPr>
        <w:spacing w:after="0" w:line="360" w:lineRule="auto"/>
        <w:jc w:val="both"/>
        <w:rPr>
          <w:rFonts w:ascii="Times New Roman" w:hAnsi="Times New Roman" w:cs="Times New Roman"/>
          <w:sz w:val="24"/>
          <w:szCs w:val="24"/>
        </w:rPr>
      </w:pPr>
      <w:r w:rsidRPr="00197E6D">
        <w:rPr>
          <w:rFonts w:ascii="Times New Roman" w:hAnsi="Times New Roman" w:cs="Times New Roman"/>
          <w:sz w:val="24"/>
          <w:szCs w:val="24"/>
        </w:rPr>
        <w:tab/>
        <w:t>Así, entre 1994 y 2013, sin 2012, se tiene que las remesas no sólo aportaron el 36.1% del total, contra el 33.9% de la inversión de capital, el 7.4% del turismo</w:t>
      </w:r>
      <w:r>
        <w:rPr>
          <w:rFonts w:ascii="Times New Roman" w:hAnsi="Times New Roman" w:cs="Times New Roman"/>
          <w:sz w:val="24"/>
          <w:szCs w:val="24"/>
        </w:rPr>
        <w:t xml:space="preserve"> y </w:t>
      </w:r>
      <w:r w:rsidRPr="00197E6D">
        <w:rPr>
          <w:rFonts w:ascii="Times New Roman" w:hAnsi="Times New Roman" w:cs="Times New Roman"/>
          <w:sz w:val="24"/>
          <w:szCs w:val="24"/>
        </w:rPr>
        <w:t xml:space="preserve">el 22.4% del petróleo; sino que su peso relativo fue constantemente ascendente, desde un 20.8% en 2001 y 2002, hasta una cima de 48.6% en 2010, cuando los efectos de la crisis habían hecho que el peso del saldo de inversiones sólo representara el 14.4% del total anual, el del turismo ascendiera a su máximo límite con el 10.8% y el petróleo aportara sólo un poco más de la cuarta parte (26.2%). </w:t>
      </w:r>
    </w:p>
    <w:p w:rsidR="00214DF8" w:rsidRPr="00197E6D" w:rsidRDefault="00214DF8" w:rsidP="00642948">
      <w:pPr>
        <w:spacing w:after="0" w:line="360" w:lineRule="auto"/>
        <w:jc w:val="both"/>
        <w:rPr>
          <w:rFonts w:ascii="Times New Roman" w:hAnsi="Times New Roman" w:cs="Times New Roman"/>
          <w:sz w:val="24"/>
          <w:szCs w:val="24"/>
        </w:rPr>
      </w:pPr>
      <w:r w:rsidRPr="00197E6D">
        <w:rPr>
          <w:rFonts w:ascii="Times New Roman" w:hAnsi="Times New Roman" w:cs="Times New Roman"/>
          <w:sz w:val="24"/>
          <w:szCs w:val="24"/>
        </w:rPr>
        <w:tab/>
      </w:r>
      <w:r>
        <w:rPr>
          <w:rFonts w:ascii="Times New Roman" w:hAnsi="Times New Roman" w:cs="Times New Roman"/>
          <w:sz w:val="24"/>
          <w:szCs w:val="24"/>
        </w:rPr>
        <w:t>El saldo de l</w:t>
      </w:r>
      <w:r w:rsidRPr="00197E6D">
        <w:rPr>
          <w:rFonts w:ascii="Times New Roman" w:hAnsi="Times New Roman" w:cs="Times New Roman"/>
          <w:sz w:val="24"/>
          <w:szCs w:val="24"/>
        </w:rPr>
        <w:t>as inversiones de</w:t>
      </w:r>
      <w:r>
        <w:rPr>
          <w:rFonts w:ascii="Times New Roman" w:hAnsi="Times New Roman" w:cs="Times New Roman"/>
          <w:sz w:val="24"/>
          <w:szCs w:val="24"/>
        </w:rPr>
        <w:t xml:space="preserve"> capital, por su parte, muestra</w:t>
      </w:r>
      <w:r w:rsidRPr="00197E6D">
        <w:rPr>
          <w:rFonts w:ascii="Times New Roman" w:hAnsi="Times New Roman" w:cs="Times New Roman"/>
          <w:sz w:val="24"/>
          <w:szCs w:val="24"/>
        </w:rPr>
        <w:t xml:space="preserve"> una tendencia consistente a la baja, con oscilaciones no tan menores, a partir de su máximo de 59.9% de 2001; y la balanza petrolera a partir de 2002 mantiene cierta estabilidad alrededor de su promedio del periodo de 22.4%, salvo en 2006, año especialmente negativo </w:t>
      </w:r>
      <w:r>
        <w:rPr>
          <w:rFonts w:ascii="Times New Roman" w:hAnsi="Times New Roman" w:cs="Times New Roman"/>
          <w:sz w:val="24"/>
          <w:szCs w:val="24"/>
        </w:rPr>
        <w:t xml:space="preserve">por cierto </w:t>
      </w:r>
      <w:r w:rsidRPr="00197E6D">
        <w:rPr>
          <w:rFonts w:ascii="Times New Roman" w:hAnsi="Times New Roman" w:cs="Times New Roman"/>
          <w:sz w:val="24"/>
          <w:szCs w:val="24"/>
        </w:rPr>
        <w:t xml:space="preserve">para las inversiones, cuando llega a representar el 30.5% anual. El aporte anual del turismo, </w:t>
      </w:r>
      <w:r w:rsidRPr="00197E6D">
        <w:rPr>
          <w:rFonts w:ascii="Times New Roman" w:hAnsi="Times New Roman" w:cs="Times New Roman"/>
          <w:sz w:val="24"/>
          <w:szCs w:val="24"/>
        </w:rPr>
        <w:lastRenderedPageBreak/>
        <w:t>finalmente, presenta un perfil de estabilidad cercano también a su promedio general de 7.4%, con dos años especialmente favorables, 2009 y 2010, con 9.6% y 10.8%, respectivamente, debido sobre todo al débil desempeño del saldo de las inversiones de capital.</w:t>
      </w:r>
    </w:p>
    <w:p w:rsidR="00214DF8" w:rsidRPr="00197E6D" w:rsidRDefault="00214DF8" w:rsidP="00642948">
      <w:pPr>
        <w:spacing w:after="0" w:line="360" w:lineRule="auto"/>
        <w:jc w:val="both"/>
        <w:rPr>
          <w:rFonts w:ascii="Times New Roman" w:hAnsi="Times New Roman" w:cs="Times New Roman"/>
          <w:sz w:val="24"/>
          <w:szCs w:val="24"/>
        </w:rPr>
      </w:pPr>
      <w:r w:rsidRPr="00197E6D">
        <w:rPr>
          <w:rFonts w:ascii="Times New Roman" w:hAnsi="Times New Roman" w:cs="Times New Roman"/>
          <w:sz w:val="24"/>
          <w:szCs w:val="24"/>
        </w:rPr>
        <w:tab/>
        <w:t xml:space="preserve">Vale la pena comparar por separado los años en los que la crisis tuvo sus efectos más severos, 2008-2011, para poder observar otra vez la gran importancia relativa de las remesas, estas vez en un periodo de grandes dificultades para la economía mexicana, cuando las empresas registradas en México, no hay que olvidarlo, deciden llevar sus inversiones productivas a tierras extranjeras. Así, el saldo de estas inversiones cae en este sub-periodo a 22.6% del total (contra el 33.9% general de 2001-2013, sin contar por supuesto su saldo negativo de 2012); el del turismo incrementa levemente su aporte a 8.8% (contra el 7.4% general); y el petróleo ofrece un ligera variación hacia arriba, con el 24.4% (contra el 22.4%). Mientras tanto, el aporte relativo de las remesas crece sustancialmente, a un 44.2%, muy cerca de la mitad del total y considerablemente por encima de su promedio general de 36.1%. </w:t>
      </w:r>
    </w:p>
    <w:p w:rsidR="00214DF8" w:rsidRDefault="00214DF8" w:rsidP="00642948">
      <w:pPr>
        <w:spacing w:after="0" w:line="360" w:lineRule="auto"/>
        <w:jc w:val="both"/>
        <w:rPr>
          <w:rFonts w:ascii="Times New Roman" w:hAnsi="Times New Roman" w:cs="Times New Roman"/>
          <w:sz w:val="24"/>
          <w:szCs w:val="24"/>
        </w:rPr>
      </w:pPr>
      <w:r w:rsidRPr="00197E6D">
        <w:rPr>
          <w:rFonts w:ascii="Times New Roman" w:hAnsi="Times New Roman" w:cs="Times New Roman"/>
          <w:sz w:val="24"/>
          <w:szCs w:val="24"/>
        </w:rPr>
        <w:tab/>
      </w:r>
      <w:r>
        <w:rPr>
          <w:rFonts w:ascii="Times New Roman" w:hAnsi="Times New Roman" w:cs="Times New Roman"/>
          <w:sz w:val="24"/>
          <w:szCs w:val="24"/>
        </w:rPr>
        <w:t xml:space="preserve">Por separado hay que ver la </w:t>
      </w:r>
      <w:r w:rsidRPr="00021891">
        <w:rPr>
          <w:rFonts w:ascii="Times New Roman" w:hAnsi="Times New Roman" w:cs="Times New Roman"/>
          <w:sz w:val="24"/>
          <w:szCs w:val="24"/>
        </w:rPr>
        <w:t>anomalía</w:t>
      </w:r>
      <w:r>
        <w:rPr>
          <w:rFonts w:ascii="Times New Roman" w:hAnsi="Times New Roman" w:cs="Times New Roman"/>
          <w:sz w:val="24"/>
          <w:szCs w:val="24"/>
        </w:rPr>
        <w:t xml:space="preserve"> de</w:t>
      </w:r>
      <w:r w:rsidRPr="00197E6D">
        <w:rPr>
          <w:rFonts w:ascii="Times New Roman" w:hAnsi="Times New Roman" w:cs="Times New Roman"/>
          <w:sz w:val="24"/>
          <w:szCs w:val="24"/>
        </w:rPr>
        <w:t xml:space="preserve"> 2012,</w:t>
      </w:r>
      <w:r>
        <w:rPr>
          <w:rFonts w:ascii="Times New Roman" w:hAnsi="Times New Roman" w:cs="Times New Roman"/>
          <w:sz w:val="24"/>
          <w:szCs w:val="24"/>
        </w:rPr>
        <w:t xml:space="preserve"> año en el que </w:t>
      </w:r>
      <w:r w:rsidRPr="00197E6D">
        <w:rPr>
          <w:rFonts w:ascii="Times New Roman" w:hAnsi="Times New Roman" w:cs="Times New Roman"/>
          <w:sz w:val="24"/>
          <w:szCs w:val="24"/>
        </w:rPr>
        <w:t xml:space="preserve">la salida de capitales de inversión restó el 46.1% (12.2 mmd) al aporte combinado (38.5 mmd en total) del turismo (4.3 mmd), el petróleo (11.8 mmd) y las remesas (22.4 mmd). </w:t>
      </w:r>
    </w:p>
    <w:p w:rsidR="00214DF8" w:rsidRDefault="00214DF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Cabe aquí una reflexión: e</w:t>
      </w:r>
      <w:r w:rsidRPr="00197E6D">
        <w:rPr>
          <w:rFonts w:ascii="Times New Roman" w:hAnsi="Times New Roman" w:cs="Times New Roman"/>
          <w:sz w:val="24"/>
          <w:szCs w:val="24"/>
        </w:rPr>
        <w:t>s cierto y hay que repetirlo: el capital no tiene patria; pero ¿no debe haber regulaciones que defiendan el interés nacional?; las autoridades electas ¿tampoco deben tener patria?</w:t>
      </w:r>
      <w:r>
        <w:rPr>
          <w:rFonts w:ascii="Times New Roman" w:hAnsi="Times New Roman" w:cs="Times New Roman"/>
          <w:sz w:val="24"/>
          <w:szCs w:val="24"/>
        </w:rPr>
        <w:t xml:space="preserve"> </w:t>
      </w:r>
      <w:r w:rsidRPr="00197E6D">
        <w:rPr>
          <w:rFonts w:ascii="Times New Roman" w:hAnsi="Times New Roman" w:cs="Times New Roman"/>
          <w:sz w:val="24"/>
          <w:szCs w:val="24"/>
        </w:rPr>
        <w:t xml:space="preserve">El año 2012, si bien no puede ser considerado como representativo del periodo porque presenta una anomalía que es producto de la combinación de una acción aislada de una sola empresa con las acciones coincidentes, mas no concertadas, de varios consorcios relevantes que operan en México, sí es una fuerte llamada de atención, un verdadero </w:t>
      </w:r>
      <w:r w:rsidRPr="00197E6D">
        <w:rPr>
          <w:rFonts w:ascii="Times New Roman" w:hAnsi="Times New Roman" w:cs="Times New Roman"/>
          <w:i/>
          <w:sz w:val="24"/>
          <w:szCs w:val="24"/>
        </w:rPr>
        <w:t>foco rojo</w:t>
      </w:r>
      <w:r w:rsidRPr="00197E6D">
        <w:rPr>
          <w:rFonts w:ascii="Times New Roman" w:hAnsi="Times New Roman" w:cs="Times New Roman"/>
          <w:sz w:val="24"/>
          <w:szCs w:val="24"/>
        </w:rPr>
        <w:t xml:space="preserve">, sobre los graves peligros que conlleva la desregulación financiera, la desnacionalización de sectores tan estratégicos como el financiero y en general la libertad absoluta con la que operan los grandes capitales en el país. </w:t>
      </w:r>
    </w:p>
    <w:p w:rsidR="00214DF8" w:rsidRDefault="00214DF8"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 embargo, éste es sólo uno de los muchos </w:t>
      </w:r>
      <w:r w:rsidRPr="00306A52">
        <w:rPr>
          <w:rFonts w:ascii="Times New Roman" w:hAnsi="Times New Roman" w:cs="Times New Roman"/>
          <w:i/>
          <w:sz w:val="24"/>
          <w:szCs w:val="24"/>
        </w:rPr>
        <w:t>focos rojos</w:t>
      </w:r>
      <w:r>
        <w:rPr>
          <w:rFonts w:ascii="Times New Roman" w:hAnsi="Times New Roman" w:cs="Times New Roman"/>
          <w:sz w:val="24"/>
          <w:szCs w:val="24"/>
        </w:rPr>
        <w:t xml:space="preserve"> que la dinámica del modelo económico imperante ha producido. Al menos en el sector petrolero aparecen otros y en el turismo al menos uno amarillo. ¿De qué color son los que aparecen en el escenario de la creciente remesodependencia?</w:t>
      </w:r>
    </w:p>
    <w:p w:rsidR="00214DF8" w:rsidRDefault="00214DF8" w:rsidP="00642948">
      <w:pPr>
        <w:spacing w:after="0" w:line="360" w:lineRule="auto"/>
        <w:jc w:val="both"/>
        <w:rPr>
          <w:rFonts w:ascii="Times New Roman" w:hAnsi="Times New Roman" w:cs="Times New Roman"/>
          <w:caps/>
          <w:sz w:val="24"/>
          <w:szCs w:val="24"/>
        </w:rPr>
      </w:pPr>
    </w:p>
    <w:p w:rsidR="00462FAB" w:rsidRDefault="00E7776C" w:rsidP="00642948">
      <w:pPr>
        <w:spacing w:after="0" w:line="360" w:lineRule="auto"/>
        <w:jc w:val="both"/>
        <w:rPr>
          <w:rFonts w:ascii="Times New Roman" w:hAnsi="Times New Roman" w:cs="Times New Roman"/>
          <w:caps/>
          <w:sz w:val="24"/>
          <w:szCs w:val="24"/>
        </w:rPr>
      </w:pPr>
      <w:r>
        <w:rPr>
          <w:rFonts w:ascii="Times New Roman" w:hAnsi="Times New Roman" w:cs="Times New Roman"/>
          <w:caps/>
          <w:sz w:val="24"/>
          <w:szCs w:val="24"/>
        </w:rPr>
        <w:t>V</w:t>
      </w:r>
      <w:r w:rsidR="004F6BB6">
        <w:rPr>
          <w:rFonts w:ascii="Times New Roman" w:hAnsi="Times New Roman" w:cs="Times New Roman"/>
          <w:caps/>
          <w:sz w:val="24"/>
          <w:szCs w:val="24"/>
        </w:rPr>
        <w:t>I</w:t>
      </w:r>
      <w:r>
        <w:rPr>
          <w:rFonts w:ascii="Times New Roman" w:hAnsi="Times New Roman" w:cs="Times New Roman"/>
          <w:caps/>
          <w:sz w:val="24"/>
          <w:szCs w:val="24"/>
        </w:rPr>
        <w:t xml:space="preserve">I. </w:t>
      </w:r>
      <w:r w:rsidR="00462FAB" w:rsidRPr="00F168A6">
        <w:rPr>
          <w:rFonts w:ascii="Times New Roman" w:hAnsi="Times New Roman" w:cs="Times New Roman"/>
          <w:caps/>
          <w:sz w:val="24"/>
          <w:szCs w:val="24"/>
        </w:rPr>
        <w:t xml:space="preserve">En conclusión ¿es posible acabar con la remesodependencia y conquistar el </w:t>
      </w:r>
      <w:r w:rsidR="00462FAB" w:rsidRPr="00F168A6">
        <w:rPr>
          <w:rFonts w:ascii="Times New Roman" w:hAnsi="Times New Roman" w:cs="Times New Roman"/>
          <w:b/>
          <w:caps/>
          <w:sz w:val="24"/>
          <w:szCs w:val="24"/>
        </w:rPr>
        <w:t>derecho a no migrar</w:t>
      </w:r>
      <w:r w:rsidR="00462FAB" w:rsidRPr="00F168A6">
        <w:rPr>
          <w:rFonts w:ascii="Times New Roman" w:hAnsi="Times New Roman" w:cs="Times New Roman"/>
          <w:caps/>
          <w:sz w:val="24"/>
          <w:szCs w:val="24"/>
        </w:rPr>
        <w:t>?</w:t>
      </w:r>
    </w:p>
    <w:p w:rsidR="00462FAB" w:rsidRPr="00D32D66" w:rsidRDefault="00462FAB" w:rsidP="00642948">
      <w:pPr>
        <w:spacing w:after="0" w:line="360" w:lineRule="auto"/>
        <w:jc w:val="both"/>
        <w:rPr>
          <w:rFonts w:ascii="Times New Roman" w:hAnsi="Times New Roman" w:cs="Times New Roman"/>
          <w:sz w:val="24"/>
          <w:szCs w:val="24"/>
        </w:rPr>
      </w:pPr>
      <w:r w:rsidRPr="00D32D66">
        <w:rPr>
          <w:rFonts w:ascii="Times New Roman" w:hAnsi="Times New Roman" w:cs="Times New Roman"/>
          <w:sz w:val="24"/>
          <w:szCs w:val="24"/>
        </w:rPr>
        <w:t xml:space="preserve">Al comparar entre sí el aporte de estas cuatro fuentes generadoras de divisas para la economía mexicana durante los años del TLCAN (gráficas # </w:t>
      </w:r>
      <w:r w:rsidR="002B39CA">
        <w:rPr>
          <w:rFonts w:ascii="Times New Roman" w:hAnsi="Times New Roman" w:cs="Times New Roman"/>
          <w:sz w:val="24"/>
          <w:szCs w:val="24"/>
        </w:rPr>
        <w:t>5</w:t>
      </w:r>
      <w:r w:rsidRPr="00D32D66">
        <w:rPr>
          <w:rFonts w:ascii="Times New Roman" w:hAnsi="Times New Roman" w:cs="Times New Roman"/>
          <w:sz w:val="24"/>
          <w:szCs w:val="24"/>
        </w:rPr>
        <w:t xml:space="preserve"> y </w:t>
      </w:r>
      <w:r w:rsidR="002B39CA">
        <w:rPr>
          <w:rFonts w:ascii="Times New Roman" w:hAnsi="Times New Roman" w:cs="Times New Roman"/>
          <w:sz w:val="24"/>
          <w:szCs w:val="24"/>
        </w:rPr>
        <w:t>6</w:t>
      </w:r>
      <w:r w:rsidRPr="00D32D66">
        <w:rPr>
          <w:rFonts w:ascii="Times New Roman" w:hAnsi="Times New Roman" w:cs="Times New Roman"/>
          <w:sz w:val="24"/>
          <w:szCs w:val="24"/>
        </w:rPr>
        <w:t xml:space="preserve">), puede verse con claridad que las remesas son las que mayor volumen, estabilidad y confiabilidad presentan; así como que su peso relativo se ha visto incrementado de manera consistente a lo largo de ese periodo. Ni siquiera en la crisis de finales de los primeros </w:t>
      </w:r>
      <w:r w:rsidR="008E5DC5">
        <w:rPr>
          <w:rFonts w:ascii="Times New Roman" w:hAnsi="Times New Roman" w:cs="Times New Roman"/>
          <w:sz w:val="24"/>
          <w:szCs w:val="24"/>
        </w:rPr>
        <w:t xml:space="preserve">años </w:t>
      </w:r>
      <w:r w:rsidRPr="00D32D66">
        <w:rPr>
          <w:rFonts w:ascii="Times New Roman" w:hAnsi="Times New Roman" w:cs="Times New Roman"/>
          <w:sz w:val="24"/>
          <w:szCs w:val="24"/>
        </w:rPr>
        <w:t>dos mil su monto ha presentado saltos tan bruscos como el saldo de la inversión directa o el de las ventas de crudo</w:t>
      </w:r>
      <w:r>
        <w:rPr>
          <w:rFonts w:ascii="Times New Roman" w:hAnsi="Times New Roman" w:cs="Times New Roman"/>
          <w:sz w:val="24"/>
          <w:szCs w:val="24"/>
        </w:rPr>
        <w:t xml:space="preserve"> y las compras de </w:t>
      </w:r>
      <w:r w:rsidR="00BF1470">
        <w:rPr>
          <w:rFonts w:ascii="Times New Roman" w:hAnsi="Times New Roman" w:cs="Times New Roman"/>
          <w:sz w:val="24"/>
          <w:szCs w:val="24"/>
        </w:rPr>
        <w:t>productos petrolíferos refinados</w:t>
      </w:r>
      <w:r w:rsidRPr="00D32D66">
        <w:rPr>
          <w:rFonts w:ascii="Times New Roman" w:hAnsi="Times New Roman" w:cs="Times New Roman"/>
          <w:sz w:val="24"/>
          <w:szCs w:val="24"/>
        </w:rPr>
        <w:t xml:space="preserve">, que si bien han mantenido una considerable importancia cuantitativa, se han visto sometidas a fuertes oscilaciones, en especial el rubro de las inversiones, que es el único en el periodo que ha llegado a presentar un registro negativo (2012). </w:t>
      </w:r>
      <w:r>
        <w:rPr>
          <w:rFonts w:ascii="Times New Roman" w:hAnsi="Times New Roman" w:cs="Times New Roman"/>
          <w:sz w:val="24"/>
          <w:szCs w:val="24"/>
        </w:rPr>
        <w:t>Aun cuando</w:t>
      </w:r>
      <w:r w:rsidRPr="00D32D66">
        <w:rPr>
          <w:rFonts w:ascii="Times New Roman" w:hAnsi="Times New Roman" w:cs="Times New Roman"/>
          <w:sz w:val="24"/>
          <w:szCs w:val="24"/>
        </w:rPr>
        <w:t xml:space="preserve"> es cierto que las remesas han dejado de crecer al fuerte ritmo que lo hicieron hasta 2007, su aporte neto de divisas se ha mantenido a un nivel superior al de cualquiera de las otras fuentes en prácticamente todos los años y porcentualmente han incrementado su peso relativo de manera muy importante. Los ingresos netos por turismo, por su parte, se han mantenido estables, pero a un nivel sumamente inferior al del resto de los renglones considerados. </w:t>
      </w:r>
    </w:p>
    <w:p w:rsidR="00462FAB" w:rsidRDefault="00462FAB"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año 2012, como se ha dicho, bien puede ser una anomalía, pero también debe ser tomado como una clara advertencia acerca de la inviabilidad de un modelo de desarrollo que tiene a la exportación de la fuerza de trabajo como su principal sustento y a la desnacionalización de los sectores estratégicos de una economía desregulada en favor de los grandes capitales transnacionales como la base de su proyecto de inserción en la globalidad... a veinte años de cosechar resultados sumamente magros con la misma estrategia. Sin desarrollar, como sostiene Cordera (2015), ni una capacidad exportadora que sea capaz de financiar sus importaciones, ni una política industrial propia, ni un mercado interno bien estructurado.</w:t>
      </w:r>
    </w:p>
    <w:p w:rsidR="00462FAB" w:rsidRDefault="00462FAB"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cuánto tiempo las remesas podrán seguir sosteniendo, en la enorme proporción en la que actualmente lo hacen, a la economía mexicana? La demografía pone claramente sus límites y la política inmigratoria norteamericana aporta los propios. Pero en juego está también la capacidad de resistencia de la sociedad mexicana frente a los procesos de </w:t>
      </w:r>
      <w:r>
        <w:rPr>
          <w:rFonts w:ascii="Times New Roman" w:hAnsi="Times New Roman" w:cs="Times New Roman"/>
          <w:sz w:val="24"/>
          <w:szCs w:val="24"/>
        </w:rPr>
        <w:lastRenderedPageBreak/>
        <w:t>extrema injusticia e inequidad que hacen viable esta remesodependencia. ¿Está fábrica de masas vulnerables y empobrecidas, exportables y desechables, podrá seguir funcionando indefinidamente? ¿La desnacionalización del patrimonio nacional podrá seguir consolidándose sin límites? ¿La pérdida creciente de soberanía frente a los grandes capitales transnacionales de los energéticos, la minería, las finanzas, la industria, la agricultura, el turismo, la salud, la educación, las telecomunicaciones, seguirá siendo el tobogán en el que se pierda sentido finalmente cualquier suerte de proyecto nacional? ¿Es imposible pensar en alguna otra forma de integración al mundo globalizado que la desaparición como nación autónoma?</w:t>
      </w:r>
    </w:p>
    <w:p w:rsidR="00462FAB" w:rsidRDefault="00462FAB" w:rsidP="00642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Muchas razones existen para responder pesimistamente a dichas interrogantes, que sintetizan algunos de los principales retos nacionales. Pero desde el lado optimista, puede sin embargo seguir proponiéndose un nuevo proyecto de desarrollo basada en una política económica dirigida a generar suficientes empleos decentes -en la acepción de la OIT-, a través de una política industrial y agropecuaria racional, que vea hacia lo global sin perder el mantenimiento de la calidad de lo local como objetivo prioritario, que trabaje para crear y consolidar un mercado interno sólido, que logre un crecimiento basado en actividades productivas no depredadoras del medio ambiente... En fin, que permita que los futuros mexicanos puedan conquistar el </w:t>
      </w:r>
      <w:r>
        <w:rPr>
          <w:rFonts w:ascii="Times New Roman" w:hAnsi="Times New Roman" w:cs="Times New Roman"/>
          <w:b/>
          <w:sz w:val="24"/>
          <w:szCs w:val="24"/>
        </w:rPr>
        <w:t>derecho a la no migración</w:t>
      </w:r>
      <w:r>
        <w:rPr>
          <w:rFonts w:ascii="Times New Roman" w:hAnsi="Times New Roman" w:cs="Times New Roman"/>
          <w:sz w:val="24"/>
          <w:szCs w:val="24"/>
        </w:rPr>
        <w:t>.</w:t>
      </w:r>
    </w:p>
    <w:p w:rsidR="00DE6C00" w:rsidRDefault="00DE6C00" w:rsidP="00BE3BB5">
      <w:pPr>
        <w:spacing w:after="0" w:line="360" w:lineRule="auto"/>
        <w:jc w:val="both"/>
        <w:rPr>
          <w:rFonts w:ascii="Times New Roman" w:hAnsi="Times New Roman" w:cs="Times New Roman"/>
          <w:b/>
          <w:sz w:val="28"/>
          <w:szCs w:val="28"/>
        </w:rPr>
      </w:pPr>
    </w:p>
    <w:p w:rsidR="00BE3BB5" w:rsidRPr="0011406B" w:rsidRDefault="00BE3BB5" w:rsidP="00BE3BB5">
      <w:pPr>
        <w:spacing w:after="0" w:line="360" w:lineRule="auto"/>
        <w:jc w:val="both"/>
        <w:rPr>
          <w:rFonts w:ascii="Times New Roman" w:hAnsi="Times New Roman" w:cs="Times New Roman"/>
          <w:sz w:val="28"/>
          <w:szCs w:val="28"/>
        </w:rPr>
      </w:pPr>
      <w:r w:rsidRPr="00973651">
        <w:rPr>
          <w:rFonts w:ascii="Times New Roman" w:hAnsi="Times New Roman" w:cs="Times New Roman"/>
          <w:b/>
          <w:sz w:val="28"/>
          <w:szCs w:val="28"/>
        </w:rPr>
        <w:t>BIBLIOGRAFÍA</w:t>
      </w:r>
    </w:p>
    <w:p w:rsidR="0059717E" w:rsidRDefault="0059717E" w:rsidP="00BE3BB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Anguiano, Ma. Eugenia</w:t>
      </w:r>
      <w:r w:rsidR="00BE3BB5" w:rsidRPr="007369A5">
        <w:rPr>
          <w:rFonts w:ascii="Times New Roman" w:hAnsi="Times New Roman" w:cs="Times New Roman"/>
          <w:sz w:val="24"/>
          <w:szCs w:val="24"/>
          <w:lang w:val="es-ES"/>
        </w:rPr>
        <w:t xml:space="preserve"> </w:t>
      </w:r>
    </w:p>
    <w:p w:rsidR="00BE3BB5" w:rsidRDefault="00BE3BB5" w:rsidP="00BE3BB5">
      <w:pPr>
        <w:spacing w:after="0" w:line="240" w:lineRule="auto"/>
        <w:jc w:val="both"/>
        <w:rPr>
          <w:rFonts w:ascii="Times New Roman" w:hAnsi="Times New Roman" w:cs="Times New Roman"/>
          <w:sz w:val="24"/>
          <w:szCs w:val="24"/>
        </w:rPr>
      </w:pPr>
      <w:r w:rsidRPr="007369A5">
        <w:rPr>
          <w:rFonts w:ascii="Times New Roman" w:hAnsi="Times New Roman" w:cs="Times New Roman"/>
          <w:sz w:val="24"/>
          <w:szCs w:val="24"/>
          <w:lang w:val="es-ES"/>
        </w:rPr>
        <w:t xml:space="preserve">2006, </w:t>
      </w:r>
      <w:r w:rsidRPr="0059717E">
        <w:rPr>
          <w:rFonts w:ascii="Times New Roman" w:hAnsi="Times New Roman" w:cs="Times New Roman"/>
          <w:i/>
          <w:sz w:val="24"/>
          <w:szCs w:val="24"/>
        </w:rPr>
        <w:t>Vigilancia y control en la frontera México-Estados Unidos: cambio de rutas y consecuencias en localidades fronterizas mexicanas de tránsito</w:t>
      </w:r>
      <w:r w:rsidRPr="007369A5">
        <w:rPr>
          <w:rFonts w:ascii="Times New Roman" w:hAnsi="Times New Roman" w:cs="Times New Roman"/>
          <w:sz w:val="24"/>
          <w:szCs w:val="24"/>
        </w:rPr>
        <w:t xml:space="preserve">, </w:t>
      </w:r>
      <w:r w:rsidRPr="007369A5">
        <w:rPr>
          <w:rFonts w:ascii="Times New Roman" w:hAnsi="Times New Roman" w:cs="Times New Roman"/>
          <w:b/>
          <w:sz w:val="24"/>
          <w:szCs w:val="24"/>
          <w:lang w:val="es-ES"/>
        </w:rPr>
        <w:t>Segundo Coloquio Internacional sobre Migración y Desarrollo: migración, transnacionalismo y transformación social</w:t>
      </w:r>
      <w:r w:rsidRPr="007369A5">
        <w:rPr>
          <w:rFonts w:ascii="Times New Roman" w:hAnsi="Times New Roman" w:cs="Times New Roman"/>
          <w:sz w:val="24"/>
          <w:szCs w:val="24"/>
        </w:rPr>
        <w:t>, Cocoyoc, Morelos, México, 26, 27 y 28 de octubre.</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lang w:val="es-ES"/>
        </w:rPr>
      </w:pPr>
      <w:r w:rsidRPr="007369A5">
        <w:rPr>
          <w:rFonts w:ascii="Times New Roman" w:hAnsi="Times New Roman" w:cs="Times New Roman"/>
          <w:sz w:val="24"/>
          <w:szCs w:val="24"/>
          <w:lang w:val="es-ES"/>
        </w:rPr>
        <w:t>Benencia, Roberto, Herrera</w:t>
      </w:r>
      <w:r w:rsidR="0059717E">
        <w:rPr>
          <w:rFonts w:ascii="Times New Roman" w:hAnsi="Times New Roman" w:cs="Times New Roman"/>
          <w:sz w:val="24"/>
          <w:szCs w:val="24"/>
          <w:lang w:val="es-ES"/>
        </w:rPr>
        <w:t xml:space="preserve"> Lima, Fernando y Elaine Levine,</w:t>
      </w:r>
      <w:r w:rsidRPr="007369A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coordinadores </w:t>
      </w:r>
    </w:p>
    <w:p w:rsidR="00BE3BB5" w:rsidRDefault="00BE3BB5" w:rsidP="00BE3BB5">
      <w:pPr>
        <w:spacing w:after="0" w:line="240" w:lineRule="auto"/>
        <w:jc w:val="both"/>
        <w:rPr>
          <w:rFonts w:ascii="Times New Roman" w:hAnsi="Times New Roman" w:cs="Times New Roman"/>
          <w:sz w:val="24"/>
          <w:szCs w:val="24"/>
          <w:lang w:val="es-ES"/>
        </w:rPr>
      </w:pPr>
      <w:r w:rsidRPr="007369A5">
        <w:rPr>
          <w:rFonts w:ascii="Times New Roman" w:hAnsi="Times New Roman" w:cs="Times New Roman"/>
          <w:sz w:val="24"/>
          <w:szCs w:val="24"/>
          <w:lang w:val="es-ES"/>
        </w:rPr>
        <w:t xml:space="preserve">2012, </w:t>
      </w:r>
      <w:r w:rsidRPr="007369A5">
        <w:rPr>
          <w:rFonts w:ascii="Times New Roman" w:hAnsi="Times New Roman" w:cs="Times New Roman"/>
          <w:b/>
          <w:sz w:val="24"/>
          <w:szCs w:val="24"/>
          <w:lang w:val="es-ES"/>
        </w:rPr>
        <w:t>Ser migrante latinoamericano, ser vulnerable, trabajar precariamente</w:t>
      </w:r>
      <w:r w:rsidRPr="007369A5">
        <w:rPr>
          <w:rFonts w:ascii="Times New Roman" w:hAnsi="Times New Roman" w:cs="Times New Roman"/>
          <w:sz w:val="24"/>
          <w:szCs w:val="24"/>
          <w:lang w:val="es-ES"/>
        </w:rPr>
        <w:t>, Barcelona, Anthropos Ed./UAM-I</w:t>
      </w:r>
      <w:r>
        <w:rPr>
          <w:rFonts w:ascii="Times New Roman" w:hAnsi="Times New Roman" w:cs="Times New Roman"/>
          <w:sz w:val="24"/>
          <w:szCs w:val="24"/>
          <w:lang w:val="es-ES"/>
        </w:rPr>
        <w:t>.</w:t>
      </w:r>
      <w:r w:rsidRPr="007369A5">
        <w:rPr>
          <w:rFonts w:ascii="Times New Roman" w:hAnsi="Times New Roman" w:cs="Times New Roman"/>
          <w:sz w:val="24"/>
          <w:szCs w:val="24"/>
          <w:lang w:val="es-ES"/>
        </w:rPr>
        <w:t xml:space="preserve"> </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59717E"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Bensusán, Graciela, et al</w:t>
      </w:r>
    </w:p>
    <w:p w:rsidR="00BE3BB5" w:rsidRDefault="00BE3BB5" w:rsidP="00BE3BB5">
      <w:pPr>
        <w:spacing w:after="0" w:line="240" w:lineRule="auto"/>
        <w:jc w:val="both"/>
        <w:rPr>
          <w:rFonts w:ascii="Times New Roman" w:hAnsi="Times New Roman" w:cs="Times New Roman"/>
          <w:sz w:val="24"/>
          <w:szCs w:val="24"/>
        </w:rPr>
      </w:pPr>
      <w:r w:rsidRPr="00474D71">
        <w:rPr>
          <w:rFonts w:ascii="Times New Roman" w:hAnsi="Times New Roman" w:cs="Times New Roman"/>
          <w:sz w:val="24"/>
          <w:szCs w:val="24"/>
        </w:rPr>
        <w:t>2007</w:t>
      </w:r>
      <w:r w:rsidR="0059717E">
        <w:rPr>
          <w:rFonts w:ascii="Times New Roman" w:hAnsi="Times New Roman" w:cs="Times New Roman"/>
          <w:sz w:val="24"/>
          <w:szCs w:val="24"/>
        </w:rPr>
        <w:t xml:space="preserve">, </w:t>
      </w:r>
      <w:r w:rsidRPr="00474D71">
        <w:rPr>
          <w:rFonts w:ascii="Times New Roman" w:hAnsi="Times New Roman" w:cs="Times New Roman"/>
          <w:b/>
          <w:bCs/>
          <w:sz w:val="24"/>
          <w:szCs w:val="24"/>
        </w:rPr>
        <w:t>Contratación colectiva de protección en México.</w:t>
      </w:r>
      <w:r>
        <w:rPr>
          <w:rFonts w:ascii="Times New Roman" w:hAnsi="Times New Roman" w:cs="Times New Roman"/>
          <w:b/>
          <w:bCs/>
          <w:sz w:val="24"/>
          <w:szCs w:val="24"/>
        </w:rPr>
        <w:t xml:space="preserve"> </w:t>
      </w:r>
      <w:r w:rsidRPr="00474D71">
        <w:rPr>
          <w:rFonts w:ascii="Times New Roman" w:hAnsi="Times New Roman" w:cs="Times New Roman"/>
          <w:b/>
          <w:bCs/>
          <w:sz w:val="24"/>
          <w:szCs w:val="24"/>
        </w:rPr>
        <w:t>Informe a la Organización Regional Interamericana de Trabajadores (ORIT),</w:t>
      </w:r>
      <w:r>
        <w:rPr>
          <w:rFonts w:ascii="Times New Roman" w:hAnsi="Times New Roman" w:cs="Times New Roman"/>
          <w:b/>
          <w:bCs/>
          <w:sz w:val="24"/>
          <w:szCs w:val="24"/>
        </w:rPr>
        <w:t xml:space="preserve"> </w:t>
      </w:r>
      <w:r w:rsidRPr="00474D71">
        <w:rPr>
          <w:rFonts w:ascii="Times New Roman" w:hAnsi="Times New Roman" w:cs="Times New Roman"/>
          <w:sz w:val="24"/>
          <w:szCs w:val="24"/>
        </w:rPr>
        <w:t>México, UNAM/IIE, 215p.</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474D71">
        <w:rPr>
          <w:rFonts w:ascii="Times New Roman" w:hAnsi="Times New Roman" w:cs="Times New Roman"/>
          <w:sz w:val="24"/>
          <w:szCs w:val="24"/>
        </w:rPr>
        <w:t>Bensusá</w:t>
      </w:r>
      <w:r w:rsidR="0059717E">
        <w:rPr>
          <w:rFonts w:ascii="Times New Roman" w:hAnsi="Times New Roman" w:cs="Times New Roman"/>
          <w:sz w:val="24"/>
          <w:szCs w:val="24"/>
        </w:rPr>
        <w:t>n, Graciela y Kevin Middlebrook</w:t>
      </w:r>
      <w:r w:rsidRPr="00474D71">
        <w:rPr>
          <w:rFonts w:ascii="Times New Roman" w:hAnsi="Times New Roman" w:cs="Times New Roman"/>
          <w:sz w:val="24"/>
          <w:szCs w:val="24"/>
        </w:rPr>
        <w:t xml:space="preserve"> </w:t>
      </w:r>
    </w:p>
    <w:p w:rsidR="00BE3BB5" w:rsidRPr="00474D71" w:rsidRDefault="00BE3BB5" w:rsidP="00BE3BB5">
      <w:pPr>
        <w:spacing w:after="0" w:line="240" w:lineRule="auto"/>
        <w:jc w:val="both"/>
        <w:rPr>
          <w:rFonts w:ascii="Times New Roman" w:hAnsi="Times New Roman" w:cs="Times New Roman"/>
          <w:sz w:val="24"/>
          <w:szCs w:val="24"/>
        </w:rPr>
      </w:pPr>
      <w:r w:rsidRPr="00474D71">
        <w:rPr>
          <w:rFonts w:ascii="Times New Roman" w:hAnsi="Times New Roman" w:cs="Times New Roman"/>
          <w:sz w:val="24"/>
          <w:szCs w:val="24"/>
        </w:rPr>
        <w:lastRenderedPageBreak/>
        <w:t xml:space="preserve">2013, </w:t>
      </w:r>
      <w:r w:rsidRPr="00474D71">
        <w:rPr>
          <w:rFonts w:ascii="Times New Roman" w:hAnsi="Times New Roman" w:cs="Times New Roman"/>
          <w:b/>
          <w:sz w:val="24"/>
          <w:szCs w:val="24"/>
        </w:rPr>
        <w:t>Sindicatos y política en México: cambios, continuidades y contradicciones</w:t>
      </w:r>
      <w:r w:rsidRPr="00474D71">
        <w:rPr>
          <w:rFonts w:ascii="Times New Roman" w:hAnsi="Times New Roman" w:cs="Times New Roman"/>
          <w:sz w:val="24"/>
          <w:szCs w:val="24"/>
        </w:rPr>
        <w:t>, México, UAM-X/FLACSO/CLACSO, 212p.</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59717E"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Cabrera, Sergio</w:t>
      </w:r>
      <w:r w:rsidR="00BE3BB5" w:rsidRPr="00EC1E81">
        <w:rPr>
          <w:rFonts w:ascii="Times New Roman" w:hAnsi="Times New Roman" w:cs="Times New Roman"/>
          <w:sz w:val="24"/>
          <w:szCs w:val="24"/>
        </w:rPr>
        <w:t xml:space="preserve"> </w:t>
      </w:r>
    </w:p>
    <w:p w:rsidR="00BE3BB5"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2015, </w:t>
      </w:r>
      <w:r w:rsidRPr="00EC1E81">
        <w:rPr>
          <w:rFonts w:ascii="Times New Roman" w:hAnsi="Times New Roman" w:cs="Times New Roman"/>
          <w:i/>
          <w:sz w:val="24"/>
          <w:szCs w:val="24"/>
        </w:rPr>
        <w:t xml:space="preserve">Las reformas en México y el </w:t>
      </w:r>
      <w:r w:rsidRPr="00EC1E81">
        <w:rPr>
          <w:rFonts w:ascii="Times New Roman" w:hAnsi="Times New Roman" w:cs="Times New Roman"/>
          <w:sz w:val="24"/>
          <w:szCs w:val="24"/>
        </w:rPr>
        <w:t xml:space="preserve">TLCAN </w:t>
      </w:r>
      <w:r w:rsidRPr="00EC1E81">
        <w:rPr>
          <w:rFonts w:ascii="Times New Roman" w:hAnsi="Times New Roman" w:cs="Times New Roman"/>
          <w:b/>
          <w:sz w:val="24"/>
          <w:szCs w:val="24"/>
        </w:rPr>
        <w:t>Problemas del Desarrollo</w:t>
      </w:r>
      <w:r w:rsidRPr="00EC1E81">
        <w:rPr>
          <w:rFonts w:ascii="Times New Roman" w:hAnsi="Times New Roman" w:cs="Times New Roman"/>
          <w:sz w:val="24"/>
          <w:szCs w:val="24"/>
        </w:rPr>
        <w:t>, México, IIE/UNAM, v.46, n.180, p.77-101.</w:t>
      </w:r>
    </w:p>
    <w:p w:rsidR="00BE3BB5" w:rsidRPr="00EC1E81"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Canales, Alejandro</w:t>
      </w:r>
    </w:p>
    <w:p w:rsidR="00BE3BB5" w:rsidRDefault="00BE3BB5" w:rsidP="00BE3BB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2014, </w:t>
      </w:r>
      <w:r w:rsidR="0059717E" w:rsidRPr="0059717E">
        <w:rPr>
          <w:rFonts w:ascii="Times New Roman" w:hAnsi="Times New Roman" w:cs="Times New Roman"/>
          <w:i/>
          <w:sz w:val="24"/>
          <w:szCs w:val="24"/>
        </w:rPr>
        <w:t>La migración en la reproducción de la sociedad global</w:t>
      </w:r>
      <w:r w:rsidR="0059717E" w:rsidRPr="0059717E">
        <w:rPr>
          <w:rFonts w:ascii="Times New Roman" w:hAnsi="Times New Roman" w:cs="Times New Roman"/>
          <w:sz w:val="24"/>
          <w:szCs w:val="24"/>
        </w:rPr>
        <w:t xml:space="preserve">, en: </w:t>
      </w:r>
      <w:r w:rsidR="0059717E" w:rsidRPr="0059717E">
        <w:rPr>
          <w:rFonts w:ascii="Times New Roman" w:hAnsi="Times New Roman" w:cs="Times New Roman"/>
          <w:b/>
          <w:sz w:val="24"/>
          <w:szCs w:val="24"/>
        </w:rPr>
        <w:t>Migración y Desarrollo</w:t>
      </w:r>
      <w:r w:rsidR="0059717E" w:rsidRPr="0059717E">
        <w:rPr>
          <w:rFonts w:ascii="Times New Roman" w:hAnsi="Times New Roman" w:cs="Times New Roman"/>
          <w:sz w:val="24"/>
          <w:szCs w:val="24"/>
        </w:rPr>
        <w:t>, México, vol. 12, segundo semestre de 2013, p.9-41.</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BE3BB5" w:rsidP="00BE3BB5">
      <w:pPr>
        <w:spacing w:after="0" w:line="240" w:lineRule="auto"/>
        <w:jc w:val="both"/>
        <w:rPr>
          <w:rFonts w:ascii="Times New Roman" w:hAnsi="Times New Roman" w:cs="Times New Roman"/>
          <w:sz w:val="24"/>
          <w:szCs w:val="24"/>
          <w:lang w:val="es-ES"/>
        </w:rPr>
      </w:pPr>
      <w:r w:rsidRPr="00B74090">
        <w:rPr>
          <w:rFonts w:ascii="Times New Roman" w:hAnsi="Times New Roman" w:cs="Times New Roman"/>
          <w:sz w:val="24"/>
          <w:szCs w:val="24"/>
          <w:lang w:val="es-ES"/>
        </w:rPr>
        <w:t>Canales, Alejandro</w:t>
      </w:r>
      <w:r>
        <w:rPr>
          <w:rFonts w:ascii="Times New Roman" w:hAnsi="Times New Roman" w:cs="Times New Roman"/>
          <w:sz w:val="24"/>
          <w:szCs w:val="24"/>
          <w:lang w:val="es-ES"/>
        </w:rPr>
        <w:t xml:space="preserve"> </w:t>
      </w:r>
    </w:p>
    <w:p w:rsidR="00BE3BB5" w:rsidRPr="00B74090"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s-ES"/>
        </w:rPr>
        <w:t>2009</w:t>
      </w:r>
      <w:r w:rsidRPr="00B74090">
        <w:rPr>
          <w:rFonts w:ascii="Times New Roman" w:hAnsi="Times New Roman" w:cs="Times New Roman"/>
          <w:sz w:val="24"/>
          <w:szCs w:val="24"/>
          <w:lang w:val="es-ES"/>
        </w:rPr>
        <w:t xml:space="preserve">, </w:t>
      </w:r>
      <w:r w:rsidRPr="00B74090">
        <w:rPr>
          <w:rFonts w:ascii="Times New Roman" w:hAnsi="Times New Roman" w:cs="Times New Roman"/>
          <w:i/>
          <w:sz w:val="24"/>
          <w:szCs w:val="24"/>
          <w:lang w:val="es-ES"/>
        </w:rPr>
        <w:t xml:space="preserve">La inserción precaria de los trabajadores latinoamericanos en la Unión </w:t>
      </w:r>
      <w:r w:rsidRPr="00B74090">
        <w:rPr>
          <w:rFonts w:ascii="Times New Roman" w:hAnsi="Times New Roman" w:cs="Times New Roman"/>
          <w:sz w:val="24"/>
          <w:szCs w:val="24"/>
          <w:lang w:val="es-ES"/>
        </w:rPr>
        <w:t xml:space="preserve">Europea, </w:t>
      </w:r>
      <w:r w:rsidRPr="00B74090">
        <w:rPr>
          <w:rFonts w:ascii="Times New Roman" w:hAnsi="Times New Roman" w:cs="Times New Roman"/>
          <w:sz w:val="24"/>
          <w:szCs w:val="24"/>
        </w:rPr>
        <w:t xml:space="preserve">ponencia presentada en el encuentro </w:t>
      </w:r>
      <w:r w:rsidRPr="00B74090">
        <w:rPr>
          <w:rFonts w:ascii="Times New Roman" w:hAnsi="Times New Roman" w:cs="Times New Roman"/>
          <w:b/>
          <w:sz w:val="24"/>
          <w:szCs w:val="24"/>
        </w:rPr>
        <w:t>Migración, vulnerabilidad y precariedad en el trabajo migrante</w:t>
      </w:r>
      <w:r w:rsidRPr="00B74090">
        <w:rPr>
          <w:rFonts w:ascii="Times New Roman" w:hAnsi="Times New Roman" w:cs="Times New Roman"/>
          <w:i/>
          <w:sz w:val="24"/>
          <w:szCs w:val="24"/>
        </w:rPr>
        <w:t>,</w:t>
      </w:r>
      <w:r w:rsidRPr="00B74090">
        <w:rPr>
          <w:rFonts w:ascii="Times New Roman" w:hAnsi="Times New Roman" w:cs="Times New Roman"/>
          <w:sz w:val="24"/>
          <w:szCs w:val="24"/>
        </w:rPr>
        <w:t xml:space="preserve"> 12 y 13 de febrero, México, UAM/Casa de la Primera Imprenta.</w:t>
      </w:r>
    </w:p>
    <w:p w:rsidR="00BE3BB5" w:rsidRPr="00B74090"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lang w:val="es-ES"/>
        </w:rPr>
      </w:pPr>
      <w:r w:rsidRPr="00B74090">
        <w:rPr>
          <w:rFonts w:ascii="Times New Roman" w:hAnsi="Times New Roman" w:cs="Times New Roman"/>
          <w:sz w:val="24"/>
          <w:szCs w:val="24"/>
          <w:lang w:val="es-ES"/>
        </w:rPr>
        <w:t xml:space="preserve">Canales, Alejandro </w:t>
      </w:r>
    </w:p>
    <w:p w:rsidR="00BE3BB5"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lang w:val="es-ES"/>
        </w:rPr>
        <w:t xml:space="preserve">2005, “El papel económico y productivo de las remesas en México. Una visión crítica”,ponencia presentada en el Seminario </w:t>
      </w:r>
      <w:r w:rsidRPr="00B74090">
        <w:rPr>
          <w:rFonts w:ascii="Times New Roman" w:hAnsi="Times New Roman" w:cs="Times New Roman"/>
          <w:i/>
          <w:sz w:val="24"/>
          <w:szCs w:val="24"/>
        </w:rPr>
        <w:t>Problemas y Desafíos de la Migración y el Desarrollo en América</w:t>
      </w:r>
      <w:r w:rsidRPr="00B74090">
        <w:rPr>
          <w:rFonts w:ascii="Times New Roman" w:hAnsi="Times New Roman" w:cs="Times New Roman"/>
          <w:sz w:val="24"/>
          <w:szCs w:val="24"/>
        </w:rPr>
        <w:t>, Cuernavaca, Mor., 7, 8 y 9 de abril.</w:t>
      </w:r>
    </w:p>
    <w:p w:rsidR="00BE3BB5" w:rsidRDefault="00BE3BB5" w:rsidP="00BE3BB5">
      <w:pPr>
        <w:spacing w:after="0" w:line="240" w:lineRule="auto"/>
        <w:jc w:val="both"/>
        <w:rPr>
          <w:rFonts w:ascii="Times New Roman" w:hAnsi="Times New Roman" w:cs="Times New Roman"/>
          <w:sz w:val="24"/>
          <w:szCs w:val="24"/>
        </w:rPr>
      </w:pPr>
    </w:p>
    <w:p w:rsidR="0059717E" w:rsidRDefault="0059717E"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CEPAL</w:t>
      </w:r>
      <w:r w:rsidR="00BE3BB5" w:rsidRPr="009C390F">
        <w:rPr>
          <w:rFonts w:ascii="Times New Roman" w:hAnsi="Times New Roman" w:cs="Times New Roman"/>
          <w:sz w:val="24"/>
          <w:szCs w:val="24"/>
        </w:rPr>
        <w:t xml:space="preserve"> </w:t>
      </w:r>
    </w:p>
    <w:p w:rsidR="00BE3BB5" w:rsidRDefault="00BE3BB5" w:rsidP="00BE3B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2012, </w:t>
      </w:r>
      <w:r w:rsidRPr="009C390F">
        <w:rPr>
          <w:rFonts w:ascii="Times New Roman" w:hAnsi="Times New Roman" w:cs="Times New Roman"/>
          <w:b/>
          <w:sz w:val="24"/>
          <w:szCs w:val="24"/>
        </w:rPr>
        <w:t>La inversión extranjera directa en América Latina y el Caribe, 2012</w:t>
      </w:r>
      <w:r>
        <w:rPr>
          <w:rFonts w:ascii="Times New Roman" w:hAnsi="Times New Roman" w:cs="Times New Roman"/>
          <w:b/>
          <w:sz w:val="24"/>
          <w:szCs w:val="24"/>
        </w:rPr>
        <w:t>.</w:t>
      </w:r>
    </w:p>
    <w:p w:rsidR="00BE3BB5" w:rsidRDefault="00BE3BB5" w:rsidP="00BE3BB5">
      <w:pPr>
        <w:spacing w:after="0" w:line="240" w:lineRule="auto"/>
        <w:jc w:val="both"/>
        <w:rPr>
          <w:rFonts w:ascii="Times New Roman" w:hAnsi="Times New Roman" w:cs="Times New Roman"/>
          <w:b/>
          <w:sz w:val="24"/>
          <w:szCs w:val="24"/>
        </w:rPr>
      </w:pPr>
    </w:p>
    <w:p w:rsidR="0059717E" w:rsidRDefault="00BE3BB5" w:rsidP="00BE3BB5">
      <w:pPr>
        <w:spacing w:after="0" w:line="240" w:lineRule="auto"/>
        <w:jc w:val="both"/>
        <w:rPr>
          <w:rFonts w:ascii="Times New Roman" w:hAnsi="Times New Roman" w:cs="Times New Roman"/>
          <w:sz w:val="24"/>
          <w:szCs w:val="24"/>
        </w:rPr>
      </w:pPr>
      <w:r w:rsidRPr="00EC1E81">
        <w:rPr>
          <w:rFonts w:ascii="Times New Roman" w:hAnsi="Times New Roman" w:cs="Times New Roman"/>
          <w:sz w:val="24"/>
          <w:szCs w:val="24"/>
        </w:rPr>
        <w:t>Cordera, Rolando</w:t>
      </w:r>
    </w:p>
    <w:p w:rsidR="00BE3BB5" w:rsidRDefault="00BE3BB5" w:rsidP="00BE3BB5">
      <w:pPr>
        <w:spacing w:after="0" w:line="240" w:lineRule="auto"/>
        <w:jc w:val="both"/>
        <w:rPr>
          <w:rFonts w:ascii="Times New Roman" w:hAnsi="Times New Roman" w:cs="Times New Roman"/>
          <w:sz w:val="24"/>
          <w:szCs w:val="24"/>
        </w:rPr>
      </w:pPr>
      <w:r w:rsidRPr="00EC1E81">
        <w:rPr>
          <w:rFonts w:ascii="Times New Roman" w:hAnsi="Times New Roman" w:cs="Times New Roman"/>
          <w:sz w:val="24"/>
          <w:szCs w:val="24"/>
        </w:rPr>
        <w:t xml:space="preserve">2015, </w:t>
      </w:r>
      <w:r w:rsidRPr="00EC1E81">
        <w:rPr>
          <w:rFonts w:ascii="Times New Roman" w:hAnsi="Times New Roman" w:cs="Times New Roman"/>
          <w:i/>
          <w:sz w:val="24"/>
          <w:szCs w:val="24"/>
        </w:rPr>
        <w:t>La "Gran Transformación" del Milagro Mexicano. A 20 años del TLCAN: de la adopción a la adaptación</w:t>
      </w:r>
      <w:r w:rsidRPr="00EC1E81">
        <w:rPr>
          <w:rFonts w:ascii="Times New Roman" w:hAnsi="Times New Roman" w:cs="Times New Roman"/>
          <w:sz w:val="24"/>
          <w:szCs w:val="24"/>
        </w:rPr>
        <w:t xml:space="preserve">, </w:t>
      </w:r>
      <w:r w:rsidRPr="00EC1E81">
        <w:rPr>
          <w:rFonts w:ascii="Times New Roman" w:hAnsi="Times New Roman" w:cs="Times New Roman"/>
          <w:b/>
          <w:sz w:val="24"/>
          <w:szCs w:val="24"/>
        </w:rPr>
        <w:t>Problemas del Desarrollo</w:t>
      </w:r>
      <w:r w:rsidRPr="00EC1E81">
        <w:rPr>
          <w:rFonts w:ascii="Times New Roman" w:hAnsi="Times New Roman" w:cs="Times New Roman"/>
          <w:sz w:val="24"/>
          <w:szCs w:val="24"/>
        </w:rPr>
        <w:t>, México, IIE/UNAM, v.46, n.180, p.11-25</w:t>
      </w:r>
      <w:r>
        <w:rPr>
          <w:rFonts w:ascii="Times New Roman" w:hAnsi="Times New Roman" w:cs="Times New Roman"/>
          <w:sz w:val="24"/>
          <w:szCs w:val="24"/>
        </w:rPr>
        <w:t>.</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Cy</w:t>
      </w:r>
      <w:r w:rsidR="0059717E">
        <w:rPr>
          <w:rFonts w:ascii="Times New Roman" w:hAnsi="Times New Roman" w:cs="Times New Roman"/>
          <w:sz w:val="24"/>
          <w:szCs w:val="24"/>
        </w:rPr>
        <w:t>pher, James y Raúl Delgado Wise</w:t>
      </w:r>
      <w:r>
        <w:rPr>
          <w:rFonts w:ascii="Times New Roman" w:hAnsi="Times New Roman" w:cs="Times New Roman"/>
          <w:sz w:val="24"/>
          <w:szCs w:val="24"/>
        </w:rPr>
        <w:t xml:space="preserve"> </w:t>
      </w:r>
    </w:p>
    <w:p w:rsidR="00BE3BB5" w:rsidRPr="001714DD"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2012, </w:t>
      </w:r>
      <w:r>
        <w:rPr>
          <w:rFonts w:ascii="Times New Roman" w:hAnsi="Times New Roman" w:cs="Times New Roman"/>
          <w:b/>
          <w:sz w:val="24"/>
          <w:szCs w:val="24"/>
        </w:rPr>
        <w:t>México a la deriva. Génesis, desempeño y crisis del Modelo Exportador de Fuerza de Trabajo</w:t>
      </w:r>
      <w:r>
        <w:rPr>
          <w:rFonts w:ascii="Times New Roman" w:hAnsi="Times New Roman" w:cs="Times New Roman"/>
          <w:sz w:val="24"/>
          <w:szCs w:val="24"/>
        </w:rPr>
        <w:t>, México, M.A. Porrúa.</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bCs/>
          <w:sz w:val="24"/>
          <w:szCs w:val="24"/>
          <w:lang w:val="es-ES"/>
        </w:rPr>
      </w:pPr>
      <w:r w:rsidRPr="00FC06F2">
        <w:rPr>
          <w:rFonts w:ascii="Times New Roman" w:hAnsi="Times New Roman" w:cs="Times New Roman"/>
          <w:bCs/>
          <w:sz w:val="24"/>
          <w:szCs w:val="24"/>
          <w:lang w:val="es-ES"/>
        </w:rPr>
        <w:t>De Castro, Carlos y Andrés Pedreño</w:t>
      </w:r>
    </w:p>
    <w:p w:rsidR="00BE3BB5" w:rsidRDefault="00BE3BB5"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2012, </w:t>
      </w:r>
      <w:r w:rsidRPr="00FC06F2">
        <w:rPr>
          <w:rFonts w:ascii="Times New Roman" w:hAnsi="Times New Roman" w:cs="Times New Roman"/>
          <w:bCs/>
          <w:i/>
          <w:sz w:val="24"/>
          <w:szCs w:val="24"/>
          <w:lang w:val="es-ES"/>
        </w:rPr>
        <w:t>El péndulo de Polanyi: de la desdemocratización  a la resistencia social</w:t>
      </w:r>
      <w:r w:rsidRPr="00FC06F2">
        <w:rPr>
          <w:rFonts w:ascii="Times New Roman" w:hAnsi="Times New Roman" w:cs="Times New Roman"/>
          <w:bCs/>
          <w:sz w:val="24"/>
          <w:szCs w:val="24"/>
          <w:lang w:val="es-ES"/>
        </w:rPr>
        <w:t xml:space="preserve">, en: </w:t>
      </w:r>
      <w:r w:rsidRPr="00FC06F2">
        <w:rPr>
          <w:rFonts w:ascii="Times New Roman" w:hAnsi="Times New Roman" w:cs="Times New Roman"/>
          <w:b/>
          <w:bCs/>
          <w:sz w:val="24"/>
          <w:szCs w:val="24"/>
          <w:lang w:val="es-ES"/>
        </w:rPr>
        <w:t>AREAS</w:t>
      </w:r>
      <w:r w:rsidRPr="00FC06F2">
        <w:rPr>
          <w:rFonts w:ascii="Times New Roman" w:hAnsi="Times New Roman" w:cs="Times New Roman"/>
          <w:bCs/>
          <w:sz w:val="24"/>
          <w:szCs w:val="24"/>
          <w:lang w:val="es-ES"/>
        </w:rPr>
        <w:t xml:space="preserve">, n.31, Murcia, España,  </w:t>
      </w:r>
      <w:r>
        <w:rPr>
          <w:rFonts w:ascii="Times New Roman" w:hAnsi="Times New Roman" w:cs="Times New Roman"/>
          <w:bCs/>
          <w:sz w:val="24"/>
          <w:szCs w:val="24"/>
          <w:lang w:val="es-ES"/>
        </w:rPr>
        <w:t xml:space="preserve">diciembre, </w:t>
      </w:r>
      <w:r w:rsidRPr="00FC06F2">
        <w:rPr>
          <w:rFonts w:ascii="Times New Roman" w:hAnsi="Times New Roman" w:cs="Times New Roman"/>
          <w:bCs/>
          <w:sz w:val="24"/>
          <w:szCs w:val="24"/>
          <w:lang w:val="es-ES"/>
        </w:rPr>
        <w:t xml:space="preserve"> p.9-24.</w:t>
      </w:r>
    </w:p>
    <w:p w:rsidR="00BE3BB5" w:rsidRDefault="00BE3BB5" w:rsidP="00BE3BB5">
      <w:pPr>
        <w:spacing w:after="0" w:line="240" w:lineRule="auto"/>
        <w:jc w:val="both"/>
        <w:rPr>
          <w:rFonts w:ascii="Times New Roman" w:hAnsi="Times New Roman" w:cs="Times New Roman"/>
          <w:bCs/>
          <w:sz w:val="24"/>
          <w:szCs w:val="24"/>
          <w:lang w:val="es-ES"/>
        </w:rPr>
      </w:pPr>
    </w:p>
    <w:p w:rsidR="0059717E" w:rsidRDefault="0059717E"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De la Garza, Enrique</w:t>
      </w:r>
      <w:r w:rsidR="00BE3BB5">
        <w:rPr>
          <w:rFonts w:ascii="Times New Roman" w:hAnsi="Times New Roman" w:cs="Times New Roman"/>
          <w:bCs/>
          <w:sz w:val="24"/>
          <w:szCs w:val="24"/>
          <w:lang w:val="es-ES"/>
        </w:rPr>
        <w:t xml:space="preserve"> </w:t>
      </w:r>
    </w:p>
    <w:p w:rsidR="00BE3BB5" w:rsidRDefault="00BE3BB5"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1988, </w:t>
      </w:r>
      <w:r>
        <w:rPr>
          <w:rFonts w:ascii="Times New Roman" w:hAnsi="Times New Roman" w:cs="Times New Roman"/>
          <w:b/>
          <w:bCs/>
          <w:sz w:val="24"/>
          <w:szCs w:val="24"/>
          <w:lang w:val="es-ES"/>
        </w:rPr>
        <w:t>Ascenso y crisis del Estado social autoritario</w:t>
      </w:r>
      <w:r>
        <w:rPr>
          <w:rFonts w:ascii="Times New Roman" w:hAnsi="Times New Roman" w:cs="Times New Roman"/>
          <w:bCs/>
          <w:sz w:val="24"/>
          <w:szCs w:val="24"/>
          <w:lang w:val="es-ES"/>
        </w:rPr>
        <w:t>, México, El Colegio de México.</w:t>
      </w:r>
    </w:p>
    <w:p w:rsidR="00BE3BB5" w:rsidRDefault="00BE3BB5" w:rsidP="00BE3BB5">
      <w:pPr>
        <w:spacing w:after="0" w:line="240" w:lineRule="auto"/>
        <w:jc w:val="both"/>
        <w:rPr>
          <w:rFonts w:ascii="Times New Roman" w:hAnsi="Times New Roman" w:cs="Times New Roman"/>
          <w:bCs/>
          <w:sz w:val="24"/>
          <w:szCs w:val="24"/>
          <w:lang w:val="es-ES"/>
        </w:rPr>
      </w:pPr>
    </w:p>
    <w:p w:rsidR="0059717E" w:rsidRDefault="00BE3BB5"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Declaración de Cuernavaca sobre migración y desarrollo </w:t>
      </w:r>
    </w:p>
    <w:p w:rsidR="00BE3BB5" w:rsidRPr="0043472E" w:rsidRDefault="00BE3BB5"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2005, </w:t>
      </w:r>
      <w:r>
        <w:rPr>
          <w:rFonts w:ascii="Times New Roman" w:hAnsi="Times New Roman" w:cs="Times New Roman"/>
          <w:b/>
          <w:bCs/>
          <w:sz w:val="24"/>
          <w:szCs w:val="24"/>
          <w:lang w:val="es-ES"/>
        </w:rPr>
        <w:t>Los migrantes no son fábricas anónimas de dólares</w:t>
      </w:r>
      <w:r>
        <w:rPr>
          <w:rFonts w:ascii="Times New Roman" w:hAnsi="Times New Roman" w:cs="Times New Roman"/>
          <w:bCs/>
          <w:sz w:val="24"/>
          <w:szCs w:val="24"/>
          <w:lang w:val="es-ES"/>
        </w:rPr>
        <w:t xml:space="preserve">, Seminario Internacional "Problemas y desafíos de la migración y el desarrollo en América", Cuernavaca, Mor., 7, 8 y 9 de abril de 2005, </w:t>
      </w:r>
      <w:r>
        <w:rPr>
          <w:rFonts w:ascii="Times New Roman" w:hAnsi="Times New Roman" w:cs="Times New Roman"/>
          <w:b/>
          <w:bCs/>
          <w:sz w:val="24"/>
          <w:szCs w:val="24"/>
          <w:lang w:val="es-ES"/>
        </w:rPr>
        <w:t>Trabajo</w:t>
      </w:r>
      <w:r>
        <w:rPr>
          <w:rFonts w:ascii="Times New Roman" w:hAnsi="Times New Roman" w:cs="Times New Roman"/>
          <w:bCs/>
          <w:sz w:val="24"/>
          <w:szCs w:val="24"/>
          <w:lang w:val="es-ES"/>
        </w:rPr>
        <w:t>, tercera época, año 1, n.1, julio-diciembre, México, OIT/UAM-I, p.126-131.</w:t>
      </w:r>
    </w:p>
    <w:p w:rsidR="00BE3BB5" w:rsidRPr="001A58DB" w:rsidRDefault="00BE3BB5" w:rsidP="00BE3BB5">
      <w:pPr>
        <w:spacing w:after="0" w:line="240" w:lineRule="auto"/>
        <w:jc w:val="both"/>
        <w:rPr>
          <w:rFonts w:ascii="Times New Roman" w:hAnsi="Times New Roman" w:cs="Times New Roman"/>
          <w:bCs/>
          <w:sz w:val="24"/>
          <w:szCs w:val="24"/>
          <w:lang w:val="es-ES"/>
        </w:rPr>
      </w:pPr>
    </w:p>
    <w:p w:rsidR="0059717E" w:rsidRDefault="0059717E"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Di Constanzo, Mario</w:t>
      </w:r>
      <w:r w:rsidR="00BE3BB5">
        <w:rPr>
          <w:rFonts w:ascii="Times New Roman" w:hAnsi="Times New Roman" w:cs="Times New Roman"/>
          <w:bCs/>
          <w:sz w:val="24"/>
          <w:szCs w:val="24"/>
          <w:lang w:val="es-ES"/>
        </w:rPr>
        <w:t xml:space="preserve"> </w:t>
      </w:r>
    </w:p>
    <w:p w:rsidR="00BE3BB5" w:rsidRDefault="00BE3BB5" w:rsidP="00BE3BB5">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2011, </w:t>
      </w:r>
      <w:r>
        <w:rPr>
          <w:rFonts w:ascii="Times New Roman" w:hAnsi="Times New Roman" w:cs="Times New Roman"/>
          <w:bCs/>
          <w:i/>
          <w:sz w:val="24"/>
          <w:szCs w:val="24"/>
          <w:lang w:val="es-ES"/>
        </w:rPr>
        <w:t>Las grandes empresas eluden y "difieren" impuestos a través del régimen de consolidación fiscal</w:t>
      </w:r>
      <w:r>
        <w:rPr>
          <w:rFonts w:ascii="Times New Roman" w:hAnsi="Times New Roman" w:cs="Times New Roman"/>
          <w:bCs/>
          <w:sz w:val="24"/>
          <w:szCs w:val="24"/>
          <w:lang w:val="es-ES"/>
        </w:rPr>
        <w:t xml:space="preserve">. </w:t>
      </w:r>
      <w:r w:rsidRPr="002A570B">
        <w:rPr>
          <w:rFonts w:ascii="Times New Roman" w:hAnsi="Times New Roman" w:cs="Times New Roman"/>
          <w:bCs/>
          <w:sz w:val="24"/>
          <w:szCs w:val="24"/>
          <w:lang w:val="es-ES"/>
        </w:rPr>
        <w:t>http://es.slideshare.net/juanjo79/empresas-evasoras-de-impuestos-2011</w:t>
      </w:r>
      <w:r>
        <w:rPr>
          <w:rFonts w:ascii="Times New Roman" w:hAnsi="Times New Roman" w:cs="Times New Roman"/>
          <w:bCs/>
          <w:sz w:val="24"/>
          <w:szCs w:val="24"/>
          <w:lang w:val="es-ES"/>
        </w:rPr>
        <w:t xml:space="preserve">. </w:t>
      </w:r>
    </w:p>
    <w:p w:rsidR="00BE3BB5" w:rsidRDefault="00BE3BB5" w:rsidP="00BE3BB5">
      <w:pPr>
        <w:spacing w:after="0" w:line="240" w:lineRule="auto"/>
        <w:jc w:val="both"/>
        <w:rPr>
          <w:rFonts w:ascii="Times New Roman" w:hAnsi="Times New Roman" w:cs="Times New Roman"/>
          <w:bCs/>
          <w:sz w:val="24"/>
          <w:szCs w:val="24"/>
          <w:lang w:val="es-ES"/>
        </w:rPr>
      </w:pPr>
    </w:p>
    <w:p w:rsidR="0059717E" w:rsidRDefault="00BE3BB5" w:rsidP="00BE3BB5">
      <w:pPr>
        <w:spacing w:after="0" w:line="240" w:lineRule="auto"/>
        <w:jc w:val="both"/>
        <w:rPr>
          <w:rFonts w:ascii="Times New Roman" w:hAnsi="Times New Roman" w:cs="Times New Roman"/>
          <w:sz w:val="24"/>
          <w:szCs w:val="24"/>
        </w:rPr>
      </w:pPr>
      <w:r w:rsidRPr="002C691C">
        <w:rPr>
          <w:rFonts w:ascii="Times New Roman" w:hAnsi="Times New Roman" w:cs="Times New Roman"/>
          <w:sz w:val="24"/>
          <w:szCs w:val="24"/>
        </w:rPr>
        <w:t>Di Constanzo</w:t>
      </w:r>
      <w:r>
        <w:rPr>
          <w:rFonts w:ascii="Times New Roman" w:hAnsi="Times New Roman" w:cs="Times New Roman"/>
          <w:sz w:val="24"/>
          <w:szCs w:val="24"/>
        </w:rPr>
        <w:t xml:space="preserve">, </w:t>
      </w:r>
      <w:r w:rsidR="0059717E">
        <w:rPr>
          <w:rFonts w:ascii="Times New Roman" w:hAnsi="Times New Roman" w:cs="Times New Roman"/>
          <w:sz w:val="24"/>
          <w:szCs w:val="24"/>
        </w:rPr>
        <w:t>Mario</w:t>
      </w:r>
    </w:p>
    <w:p w:rsidR="00BE3BB5" w:rsidRPr="0057441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2009</w:t>
      </w:r>
      <w:r w:rsidRPr="002C691C">
        <w:rPr>
          <w:rFonts w:ascii="Times New Roman" w:hAnsi="Times New Roman" w:cs="Times New Roman"/>
          <w:sz w:val="24"/>
          <w:szCs w:val="24"/>
        </w:rPr>
        <w:t xml:space="preserve"> Mario, </w:t>
      </w:r>
      <w:r w:rsidRPr="002C691C">
        <w:rPr>
          <w:rFonts w:ascii="Times New Roman" w:hAnsi="Times New Roman" w:cs="Times New Roman"/>
          <w:b/>
          <w:sz w:val="24"/>
          <w:szCs w:val="24"/>
        </w:rPr>
        <w:t>Emeequis</w:t>
      </w:r>
      <w:r>
        <w:rPr>
          <w:rFonts w:ascii="Times New Roman" w:hAnsi="Times New Roman" w:cs="Times New Roman"/>
          <w:sz w:val="24"/>
          <w:szCs w:val="24"/>
        </w:rPr>
        <w:t>, 26 de octubre.</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 xml:space="preserve">Durand, Jorge y Douglas Massey </w:t>
      </w:r>
    </w:p>
    <w:p w:rsidR="00BE3BB5" w:rsidRPr="00B74090" w:rsidRDefault="00BE3BB5" w:rsidP="00BE3BB5">
      <w:pPr>
        <w:spacing w:after="0" w:line="240" w:lineRule="auto"/>
        <w:jc w:val="both"/>
        <w:rPr>
          <w:rFonts w:ascii="Times New Roman" w:hAnsi="Times New Roman" w:cs="Times New Roman"/>
          <w:sz w:val="24"/>
          <w:szCs w:val="24"/>
          <w:lang w:val="es-ES"/>
        </w:rPr>
      </w:pPr>
      <w:r w:rsidRPr="00B74090">
        <w:rPr>
          <w:rFonts w:ascii="Times New Roman" w:hAnsi="Times New Roman" w:cs="Times New Roman"/>
          <w:sz w:val="24"/>
          <w:szCs w:val="24"/>
        </w:rPr>
        <w:t xml:space="preserve">2003, </w:t>
      </w:r>
      <w:r w:rsidRPr="00B74090">
        <w:rPr>
          <w:rFonts w:ascii="Times New Roman" w:hAnsi="Times New Roman" w:cs="Times New Roman"/>
          <w:b/>
          <w:sz w:val="24"/>
          <w:szCs w:val="24"/>
          <w:lang w:val="es-ES"/>
        </w:rPr>
        <w:t>Clandestinos, migración México-Estados Unidos en los albores del siglo XXI</w:t>
      </w:r>
      <w:r w:rsidRPr="00B74090">
        <w:rPr>
          <w:rFonts w:ascii="Times New Roman" w:hAnsi="Times New Roman" w:cs="Times New Roman"/>
          <w:sz w:val="24"/>
          <w:szCs w:val="24"/>
          <w:lang w:val="es-ES"/>
        </w:rPr>
        <w:t>. México, UAZ / Miguel Ángel Porrúa.</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Fundación BBVA/CONAPO </w:t>
      </w:r>
    </w:p>
    <w:p w:rsidR="00BE3BB5"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2014, </w:t>
      </w:r>
      <w:r w:rsidRPr="00EC1E81">
        <w:rPr>
          <w:rFonts w:ascii="Times New Roman" w:hAnsi="Times New Roman" w:cs="Times New Roman"/>
          <w:b/>
          <w:sz w:val="24"/>
          <w:szCs w:val="24"/>
        </w:rPr>
        <w:t>Anuario de migración y remesas</w:t>
      </w:r>
      <w:r>
        <w:rPr>
          <w:rFonts w:ascii="Times New Roman" w:hAnsi="Times New Roman" w:cs="Times New Roman"/>
          <w:b/>
          <w:sz w:val="24"/>
          <w:szCs w:val="24"/>
        </w:rPr>
        <w:t xml:space="preserve"> 2014</w:t>
      </w:r>
      <w:r w:rsidRPr="00EC1E81">
        <w:rPr>
          <w:rFonts w:ascii="Times New Roman" w:hAnsi="Times New Roman" w:cs="Times New Roman"/>
          <w:sz w:val="24"/>
          <w:szCs w:val="24"/>
        </w:rPr>
        <w:t>, México</w:t>
      </w:r>
      <w:r>
        <w:rPr>
          <w:rFonts w:ascii="Times New Roman" w:hAnsi="Times New Roman" w:cs="Times New Roman"/>
          <w:sz w:val="24"/>
          <w:szCs w:val="24"/>
        </w:rPr>
        <w:t>.</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BE3BB5" w:rsidP="00BE3BB5">
      <w:pPr>
        <w:spacing w:after="0" w:line="240" w:lineRule="auto"/>
        <w:jc w:val="both"/>
        <w:rPr>
          <w:rFonts w:ascii="Times New Roman" w:hAnsi="Times New Roman" w:cs="Times New Roman"/>
          <w:sz w:val="24"/>
          <w:szCs w:val="24"/>
          <w:lang w:val="es-ES"/>
        </w:rPr>
      </w:pPr>
      <w:r w:rsidRPr="00B74090">
        <w:rPr>
          <w:rFonts w:ascii="Times New Roman" w:hAnsi="Times New Roman" w:cs="Times New Roman"/>
          <w:sz w:val="24"/>
          <w:szCs w:val="24"/>
          <w:lang w:val="es-ES"/>
        </w:rPr>
        <w:t>Giorguli, Silvia y Selene Gaspar</w:t>
      </w:r>
    </w:p>
    <w:p w:rsidR="00BE3BB5" w:rsidRPr="00B74090" w:rsidRDefault="00BE3BB5" w:rsidP="00BE3BB5">
      <w:pPr>
        <w:spacing w:after="0" w:line="240" w:lineRule="auto"/>
        <w:jc w:val="both"/>
        <w:rPr>
          <w:rFonts w:ascii="Times New Roman" w:hAnsi="Times New Roman" w:cs="Times New Roman"/>
          <w:sz w:val="24"/>
          <w:szCs w:val="24"/>
          <w:lang w:val="es-ES"/>
        </w:rPr>
      </w:pPr>
      <w:r w:rsidRPr="00B74090">
        <w:rPr>
          <w:rFonts w:ascii="Times New Roman" w:hAnsi="Times New Roman" w:cs="Times New Roman"/>
          <w:sz w:val="24"/>
          <w:szCs w:val="24"/>
          <w:lang w:val="es-ES"/>
        </w:rPr>
        <w:t xml:space="preserve">2008, </w:t>
      </w:r>
      <w:r w:rsidRPr="00B74090">
        <w:rPr>
          <w:rFonts w:ascii="Times New Roman" w:hAnsi="Times New Roman" w:cs="Times New Roman"/>
          <w:b/>
          <w:sz w:val="24"/>
          <w:szCs w:val="24"/>
          <w:lang w:val="es-ES"/>
        </w:rPr>
        <w:t>Inserción ocupacional, ingreso y prestaciones de los migrantes mexicanos en Estados Unidos, México</w:t>
      </w:r>
      <w:r w:rsidRPr="00B74090">
        <w:rPr>
          <w:rFonts w:ascii="Times New Roman" w:hAnsi="Times New Roman" w:cs="Times New Roman"/>
          <w:sz w:val="24"/>
          <w:szCs w:val="24"/>
          <w:lang w:val="es-ES"/>
        </w:rPr>
        <w:t>, CONAPO/ SEGOB: p. 191.</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Guillén, Arturo</w:t>
      </w:r>
    </w:p>
    <w:p w:rsidR="00BE3BB5" w:rsidRPr="008E19E1" w:rsidRDefault="00BE3BB5" w:rsidP="00BE3BB5">
      <w:pPr>
        <w:spacing w:after="0" w:line="240" w:lineRule="auto"/>
        <w:jc w:val="both"/>
        <w:rPr>
          <w:rFonts w:ascii="Times New Roman" w:hAnsi="Times New Roman" w:cs="Times New Roman"/>
          <w:b/>
          <w:sz w:val="24"/>
          <w:szCs w:val="24"/>
          <w:lang w:val="es-ES"/>
        </w:rPr>
      </w:pPr>
      <w:r>
        <w:rPr>
          <w:rFonts w:ascii="Times New Roman" w:hAnsi="Times New Roman" w:cs="Times New Roman"/>
          <w:sz w:val="24"/>
          <w:szCs w:val="24"/>
        </w:rPr>
        <w:t xml:space="preserve">s.f., </w:t>
      </w:r>
      <w:r>
        <w:rPr>
          <w:rFonts w:ascii="Times New Roman" w:hAnsi="Times New Roman" w:cs="Times New Roman"/>
          <w:i/>
          <w:sz w:val="24"/>
          <w:szCs w:val="24"/>
        </w:rPr>
        <w:t>La crisis global y la recesión mundial</w:t>
      </w:r>
      <w:r>
        <w:rPr>
          <w:rFonts w:ascii="Times New Roman" w:hAnsi="Times New Roman" w:cs="Times New Roman"/>
          <w:sz w:val="24"/>
          <w:szCs w:val="24"/>
        </w:rPr>
        <w:t>, mimeo.</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EC1E81">
        <w:rPr>
          <w:rFonts w:ascii="Times New Roman" w:hAnsi="Times New Roman" w:cs="Times New Roman"/>
          <w:sz w:val="24"/>
          <w:szCs w:val="24"/>
        </w:rPr>
        <w:t>Guillén Romo, Héctor</w:t>
      </w:r>
    </w:p>
    <w:p w:rsidR="00BE3BB5" w:rsidRPr="00EC1E81" w:rsidRDefault="00BE3BB5" w:rsidP="00BE3BB5">
      <w:pPr>
        <w:spacing w:after="0" w:line="240" w:lineRule="auto"/>
        <w:jc w:val="both"/>
        <w:rPr>
          <w:rFonts w:ascii="Times New Roman" w:hAnsi="Times New Roman" w:cs="Times New Roman"/>
          <w:sz w:val="24"/>
          <w:szCs w:val="24"/>
        </w:rPr>
      </w:pPr>
      <w:r w:rsidRPr="00EC1E81">
        <w:rPr>
          <w:rFonts w:ascii="Times New Roman" w:hAnsi="Times New Roman" w:cs="Times New Roman"/>
          <w:sz w:val="24"/>
          <w:szCs w:val="24"/>
        </w:rPr>
        <w:t xml:space="preserve">1997, </w:t>
      </w:r>
      <w:r w:rsidRPr="00EC1E81">
        <w:rPr>
          <w:rFonts w:ascii="Times New Roman" w:hAnsi="Times New Roman" w:cs="Times New Roman"/>
          <w:b/>
          <w:sz w:val="24"/>
          <w:szCs w:val="24"/>
        </w:rPr>
        <w:t>La contrarrevolución neoliberal</w:t>
      </w:r>
      <w:r w:rsidRPr="00EC1E81">
        <w:rPr>
          <w:rFonts w:ascii="Times New Roman" w:hAnsi="Times New Roman" w:cs="Times New Roman"/>
          <w:sz w:val="24"/>
          <w:szCs w:val="24"/>
        </w:rPr>
        <w:t>, México, ERA.</w:t>
      </w:r>
    </w:p>
    <w:p w:rsidR="00BE3BB5" w:rsidRPr="00EC1E81"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EC1E81">
        <w:rPr>
          <w:rFonts w:ascii="Times New Roman" w:hAnsi="Times New Roman" w:cs="Times New Roman"/>
          <w:sz w:val="24"/>
          <w:szCs w:val="24"/>
        </w:rPr>
        <w:t>Gurría, José Angel</w:t>
      </w:r>
    </w:p>
    <w:p w:rsidR="00BE3BB5" w:rsidRDefault="00BE3BB5" w:rsidP="00BE3BB5">
      <w:pPr>
        <w:spacing w:after="0" w:line="240" w:lineRule="auto"/>
        <w:jc w:val="both"/>
        <w:rPr>
          <w:rFonts w:ascii="Times New Roman" w:hAnsi="Times New Roman" w:cs="Times New Roman"/>
          <w:sz w:val="24"/>
          <w:szCs w:val="24"/>
        </w:rPr>
      </w:pPr>
      <w:r w:rsidRPr="00EC1E81">
        <w:rPr>
          <w:rFonts w:ascii="Times New Roman" w:hAnsi="Times New Roman" w:cs="Times New Roman"/>
          <w:sz w:val="24"/>
          <w:szCs w:val="24"/>
        </w:rPr>
        <w:t xml:space="preserve">2014, </w:t>
      </w:r>
      <w:r w:rsidRPr="00EC1E81">
        <w:rPr>
          <w:rFonts w:ascii="Times New Roman" w:hAnsi="Times New Roman" w:cs="Times New Roman"/>
          <w:b/>
          <w:sz w:val="24"/>
          <w:szCs w:val="24"/>
        </w:rPr>
        <w:t>Seminario del ITAM sobre las reformas estructurales y las perspectivas económicas de 2014</w:t>
      </w:r>
      <w:r w:rsidRPr="00EC1E81">
        <w:rPr>
          <w:rFonts w:ascii="Times New Roman" w:hAnsi="Times New Roman" w:cs="Times New Roman"/>
          <w:sz w:val="24"/>
          <w:szCs w:val="24"/>
        </w:rPr>
        <w:t>, México, DF, 10 de enero de 2014, (http://www.oecd.org/centrodemexico/SPEECH%20ITAM%20GURRIA%202014%20FINAL.pdf), última consulta, 4 de abril de 2015.</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Herrera Lima, Fernando</w:t>
      </w:r>
    </w:p>
    <w:p w:rsidR="00BE3BB5"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2014,</w:t>
      </w:r>
      <w:r w:rsidRPr="00C262A7">
        <w:rPr>
          <w:rFonts w:ascii="Times New Roman" w:hAnsi="Times New Roman" w:cs="Times New Roman"/>
          <w:i/>
          <w:sz w:val="24"/>
          <w:szCs w:val="24"/>
          <w:lang w:val="es-ES"/>
        </w:rPr>
        <w:t xml:space="preserve"> El aislamiento internacional del sindicalismo mexicano en su crisis actual</w:t>
      </w:r>
      <w:r w:rsidRPr="00C262A7">
        <w:rPr>
          <w:rFonts w:ascii="Times New Roman" w:hAnsi="Times New Roman" w:cs="Times New Roman"/>
          <w:sz w:val="24"/>
          <w:szCs w:val="24"/>
          <w:lang w:val="es-ES"/>
        </w:rPr>
        <w:t xml:space="preserve">, </w:t>
      </w:r>
      <w:r w:rsidRPr="00C262A7">
        <w:rPr>
          <w:rFonts w:ascii="Times New Roman" w:hAnsi="Times New Roman" w:cs="Times New Roman"/>
          <w:b/>
          <w:sz w:val="24"/>
          <w:szCs w:val="24"/>
          <w:lang w:val="es-ES"/>
        </w:rPr>
        <w:t>LASA2014</w:t>
      </w:r>
      <w:r w:rsidRPr="00C262A7">
        <w:rPr>
          <w:rFonts w:ascii="Times New Roman" w:hAnsi="Times New Roman" w:cs="Times New Roman"/>
          <w:sz w:val="24"/>
          <w:szCs w:val="24"/>
          <w:lang w:val="es-ES"/>
        </w:rPr>
        <w:t xml:space="preserve">, Chicago, </w:t>
      </w:r>
      <w:r>
        <w:rPr>
          <w:rFonts w:ascii="Times New Roman" w:hAnsi="Times New Roman" w:cs="Times New Roman"/>
          <w:sz w:val="24"/>
          <w:szCs w:val="24"/>
          <w:lang w:val="es-ES"/>
        </w:rPr>
        <w:t>Ill., EUA, 21-24 de mayo</w:t>
      </w:r>
      <w:r w:rsidRPr="00C262A7">
        <w:rPr>
          <w:rFonts w:ascii="Times New Roman" w:hAnsi="Times New Roman" w:cs="Times New Roman"/>
          <w:sz w:val="24"/>
          <w:szCs w:val="24"/>
          <w:lang w:val="es-ES"/>
        </w:rPr>
        <w:t>.</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Herrera Lima, Fernando</w:t>
      </w:r>
    </w:p>
    <w:p w:rsidR="00BE3BB5" w:rsidRPr="00D4785F" w:rsidRDefault="00BE3BB5" w:rsidP="00BE3BB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2012a,</w:t>
      </w:r>
      <w:r w:rsidRPr="00D4785F">
        <w:rPr>
          <w:rFonts w:ascii="Times New Roman" w:hAnsi="Times New Roman" w:cs="Times New Roman"/>
          <w:sz w:val="24"/>
          <w:szCs w:val="24"/>
        </w:rPr>
        <w:t xml:space="preserve"> </w:t>
      </w:r>
      <w:r w:rsidRPr="00D4785F">
        <w:rPr>
          <w:rFonts w:ascii="Times New Roman" w:hAnsi="Times New Roman" w:cs="Times New Roman"/>
          <w:i/>
          <w:sz w:val="24"/>
          <w:szCs w:val="24"/>
        </w:rPr>
        <w:t>La migración a los Estados Unidos, una visión del primer decenio del siglo XXI</w:t>
      </w:r>
      <w:r w:rsidRPr="00D4785F">
        <w:rPr>
          <w:rFonts w:ascii="Times New Roman" w:hAnsi="Times New Roman" w:cs="Times New Roman"/>
          <w:sz w:val="24"/>
          <w:szCs w:val="24"/>
        </w:rPr>
        <w:t xml:space="preserve">, </w:t>
      </w:r>
      <w:r w:rsidRPr="00D4785F">
        <w:rPr>
          <w:rFonts w:ascii="Times New Roman" w:hAnsi="Times New Roman" w:cs="Times New Roman"/>
          <w:b/>
          <w:sz w:val="24"/>
          <w:szCs w:val="24"/>
        </w:rPr>
        <w:t>Norteamérica,</w:t>
      </w:r>
      <w:r w:rsidRPr="00D4785F">
        <w:rPr>
          <w:rFonts w:ascii="Times New Roman" w:hAnsi="Times New Roman" w:cs="Times New Roman"/>
          <w:sz w:val="24"/>
          <w:szCs w:val="24"/>
        </w:rPr>
        <w:t xml:space="preserve"> México, CISAN/UNAM, año 7, n.2, julio-diciembre de 2012, p.171-</w:t>
      </w:r>
      <w:r>
        <w:rPr>
          <w:rFonts w:ascii="Times New Roman" w:hAnsi="Times New Roman" w:cs="Times New Roman"/>
          <w:sz w:val="24"/>
          <w:szCs w:val="24"/>
        </w:rPr>
        <w:t>197</w:t>
      </w:r>
      <w:r w:rsidRPr="00D4785F">
        <w:rPr>
          <w:rFonts w:ascii="Times New Roman" w:hAnsi="Times New Roman" w:cs="Times New Roman"/>
          <w:sz w:val="24"/>
          <w:szCs w:val="24"/>
        </w:rPr>
        <w:t>.</w:t>
      </w:r>
    </w:p>
    <w:p w:rsidR="00BE3BB5" w:rsidRPr="00D4785F" w:rsidRDefault="00BE3BB5" w:rsidP="00BE3BB5">
      <w:pPr>
        <w:spacing w:after="0" w:line="240" w:lineRule="auto"/>
        <w:jc w:val="both"/>
        <w:rPr>
          <w:rFonts w:ascii="Times New Roman" w:hAnsi="Times New Roman" w:cs="Times New Roman"/>
          <w:i/>
          <w:sz w:val="24"/>
          <w:szCs w:val="24"/>
        </w:rPr>
      </w:pPr>
    </w:p>
    <w:p w:rsidR="00BE3BB5" w:rsidRPr="00D4785F"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Herrera Lima, Fernando</w:t>
      </w:r>
      <w:r>
        <w:rPr>
          <w:rFonts w:ascii="Times New Roman" w:hAnsi="Times New Roman" w:cs="Times New Roman"/>
          <w:sz w:val="24"/>
          <w:szCs w:val="24"/>
        </w:rPr>
        <w:t>, 2012b,</w:t>
      </w:r>
      <w:r w:rsidRPr="00D4785F">
        <w:rPr>
          <w:rFonts w:ascii="Times New Roman" w:hAnsi="Times New Roman" w:cs="Times New Roman"/>
          <w:i/>
          <w:sz w:val="24"/>
          <w:szCs w:val="24"/>
        </w:rPr>
        <w:t xml:space="preserve"> Las remesas: elemento fundamental del mercado de trabajo transnacional México-Estados Unidos</w:t>
      </w:r>
      <w:r w:rsidRPr="00D4785F">
        <w:rPr>
          <w:rFonts w:ascii="Times New Roman" w:hAnsi="Times New Roman" w:cs="Times New Roman"/>
          <w:sz w:val="24"/>
          <w:szCs w:val="24"/>
        </w:rPr>
        <w:t xml:space="preserve">, Buenos Aires, Argentina, </w:t>
      </w:r>
      <w:r w:rsidRPr="00D4785F">
        <w:rPr>
          <w:rFonts w:ascii="Times New Roman" w:hAnsi="Times New Roman" w:cs="Times New Roman"/>
          <w:b/>
          <w:sz w:val="24"/>
          <w:szCs w:val="24"/>
        </w:rPr>
        <w:t xml:space="preserve">Estudios Migratorios Latinoamericanos, </w:t>
      </w:r>
      <w:r w:rsidRPr="00D4785F">
        <w:rPr>
          <w:rFonts w:ascii="Times New Roman" w:hAnsi="Times New Roman" w:cs="Times New Roman"/>
          <w:sz w:val="24"/>
          <w:szCs w:val="24"/>
        </w:rPr>
        <w:t>n.73, segu</w:t>
      </w:r>
      <w:r>
        <w:rPr>
          <w:rFonts w:ascii="Times New Roman" w:hAnsi="Times New Roman" w:cs="Times New Roman"/>
          <w:sz w:val="24"/>
          <w:szCs w:val="24"/>
        </w:rPr>
        <w:t>ndo semestre de 2012</w:t>
      </w:r>
      <w:r w:rsidRPr="00D4785F">
        <w:rPr>
          <w:rFonts w:ascii="Times New Roman" w:hAnsi="Times New Roman" w:cs="Times New Roman"/>
          <w:sz w:val="24"/>
          <w:szCs w:val="24"/>
        </w:rPr>
        <w:t>.</w:t>
      </w:r>
    </w:p>
    <w:p w:rsidR="00BE3BB5" w:rsidRDefault="00BE3BB5" w:rsidP="00BE3BB5">
      <w:pPr>
        <w:spacing w:after="0" w:line="240" w:lineRule="auto"/>
        <w:jc w:val="both"/>
        <w:rPr>
          <w:rFonts w:ascii="Times New Roman" w:hAnsi="Times New Roman" w:cs="Times New Roman"/>
          <w:sz w:val="24"/>
          <w:szCs w:val="24"/>
          <w:lang w:val="es-ES"/>
        </w:rPr>
      </w:pPr>
    </w:p>
    <w:p w:rsidR="0059717E"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Herrera Lima, Fernando</w:t>
      </w:r>
    </w:p>
    <w:p w:rsidR="00BE3BB5"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 xml:space="preserve">2007, </w:t>
      </w:r>
      <w:r w:rsidRPr="00B74090">
        <w:rPr>
          <w:rFonts w:ascii="Times New Roman" w:hAnsi="Times New Roman" w:cs="Times New Roman"/>
          <w:i/>
          <w:sz w:val="24"/>
          <w:szCs w:val="24"/>
        </w:rPr>
        <w:t>México y la migración internacional: el lamentable balance del sexenio foxista</w:t>
      </w:r>
      <w:r w:rsidRPr="00B74090">
        <w:rPr>
          <w:rFonts w:ascii="Times New Roman" w:hAnsi="Times New Roman" w:cs="Times New Roman"/>
          <w:sz w:val="24"/>
          <w:szCs w:val="24"/>
        </w:rPr>
        <w:t xml:space="preserve">, en: Méndez B., Luis H. y Marco Antonio Leyva P., Coordinadores, </w:t>
      </w:r>
      <w:r w:rsidRPr="00B74090">
        <w:rPr>
          <w:rFonts w:ascii="Times New Roman" w:hAnsi="Times New Roman" w:cs="Times New Roman"/>
          <w:b/>
          <w:sz w:val="24"/>
          <w:szCs w:val="24"/>
        </w:rPr>
        <w:t>2000-2006. Reflexiones acerca de un sexenio conflictivo</w:t>
      </w:r>
      <w:r w:rsidRPr="00B74090">
        <w:rPr>
          <w:rFonts w:ascii="Times New Roman" w:hAnsi="Times New Roman" w:cs="Times New Roman"/>
          <w:sz w:val="24"/>
          <w:szCs w:val="24"/>
        </w:rPr>
        <w:t>, México, Eón sociales, t.2, p.67-90.</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lastRenderedPageBreak/>
        <w:t>Herrera Lima, Fernando</w:t>
      </w:r>
      <w:r>
        <w:rPr>
          <w:rFonts w:ascii="Times New Roman" w:hAnsi="Times New Roman" w:cs="Times New Roman"/>
          <w:sz w:val="24"/>
          <w:szCs w:val="24"/>
        </w:rPr>
        <w:t xml:space="preserve">, </w:t>
      </w:r>
      <w:r w:rsidRPr="00B74090">
        <w:rPr>
          <w:rFonts w:ascii="Times New Roman" w:hAnsi="Times New Roman" w:cs="Times New Roman"/>
          <w:sz w:val="24"/>
          <w:szCs w:val="24"/>
        </w:rPr>
        <w:t xml:space="preserve"> </w:t>
      </w:r>
      <w:r w:rsidRPr="00D4785F">
        <w:rPr>
          <w:rFonts w:ascii="Times New Roman" w:hAnsi="Times New Roman" w:cs="Times New Roman"/>
          <w:sz w:val="24"/>
          <w:szCs w:val="24"/>
        </w:rPr>
        <w:t>Yolanda Massieu, Celso Ortíz Marín y Ulises Revilla</w:t>
      </w:r>
    </w:p>
    <w:p w:rsidR="00BE3BB5"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2014</w:t>
      </w:r>
      <w:r w:rsidRPr="00D4785F">
        <w:rPr>
          <w:rFonts w:ascii="Times New Roman" w:hAnsi="Times New Roman" w:cs="Times New Roman"/>
          <w:i/>
          <w:sz w:val="24"/>
          <w:szCs w:val="24"/>
        </w:rPr>
        <w:t xml:space="preserve"> Migración, trabajo y campesinado en la agricultura globalizada de México y Estados Unidos</w:t>
      </w:r>
      <w:r w:rsidRPr="00D4785F">
        <w:rPr>
          <w:rFonts w:ascii="Times New Roman" w:hAnsi="Times New Roman" w:cs="Times New Roman"/>
          <w:sz w:val="24"/>
          <w:szCs w:val="24"/>
        </w:rPr>
        <w:t xml:space="preserve">, en: Hernández Romo, Marcela, coordinadora, </w:t>
      </w:r>
      <w:r w:rsidRPr="00D4785F">
        <w:rPr>
          <w:rFonts w:ascii="Times New Roman" w:hAnsi="Times New Roman" w:cs="Times New Roman"/>
          <w:b/>
          <w:sz w:val="24"/>
          <w:szCs w:val="24"/>
        </w:rPr>
        <w:t>Los nuevos estudios laborales en México</w:t>
      </w:r>
      <w:r w:rsidRPr="00D4785F">
        <w:rPr>
          <w:rFonts w:ascii="Times New Roman" w:hAnsi="Times New Roman" w:cs="Times New Roman"/>
          <w:sz w:val="24"/>
          <w:szCs w:val="24"/>
        </w:rPr>
        <w:t>, México, M.A. Porrúa</w:t>
      </w:r>
      <w:r w:rsidRPr="00D4785F">
        <w:rPr>
          <w:rFonts w:ascii="Times New Roman" w:hAnsi="Times New Roman" w:cs="Times New Roman"/>
          <w:b/>
          <w:sz w:val="24"/>
          <w:szCs w:val="24"/>
        </w:rPr>
        <w:t xml:space="preserve"> </w:t>
      </w:r>
      <w:r w:rsidRPr="00D4785F">
        <w:rPr>
          <w:rFonts w:ascii="Times New Roman" w:hAnsi="Times New Roman" w:cs="Times New Roman"/>
          <w:sz w:val="24"/>
          <w:szCs w:val="24"/>
        </w:rPr>
        <w:t>y UAM-I</w:t>
      </w:r>
      <w:r>
        <w:rPr>
          <w:rFonts w:ascii="Times New Roman" w:hAnsi="Times New Roman" w:cs="Times New Roman"/>
          <w:sz w:val="24"/>
          <w:szCs w:val="24"/>
        </w:rPr>
        <w:t>.</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Hiai, Shinji</w:t>
      </w:r>
    </w:p>
    <w:p w:rsidR="00BE3BB5" w:rsidRPr="00ED4A3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2009, </w:t>
      </w:r>
      <w:r>
        <w:rPr>
          <w:rFonts w:ascii="Times New Roman" w:hAnsi="Times New Roman" w:cs="Times New Roman"/>
          <w:b/>
          <w:sz w:val="24"/>
          <w:szCs w:val="24"/>
        </w:rPr>
        <w:t>Economía política de la nostalgia</w:t>
      </w:r>
      <w:r>
        <w:rPr>
          <w:rFonts w:ascii="Times New Roman" w:hAnsi="Times New Roman" w:cs="Times New Roman"/>
          <w:sz w:val="24"/>
          <w:szCs w:val="24"/>
        </w:rPr>
        <w:t>, México, Juan Pablos/UAM-I.</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Jardón, Eduard</w:t>
      </w:r>
      <w:r w:rsidR="0059717E">
        <w:rPr>
          <w:rFonts w:ascii="Times New Roman" w:hAnsi="Times New Roman" w:cs="Times New Roman"/>
          <w:sz w:val="24"/>
          <w:szCs w:val="24"/>
        </w:rPr>
        <w:t>o</w:t>
      </w:r>
    </w:p>
    <w:p w:rsidR="00BE3BB5"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2014, </w:t>
      </w:r>
      <w:r w:rsidRPr="00781FD6">
        <w:rPr>
          <w:rFonts w:ascii="Times New Roman" w:hAnsi="Times New Roman" w:cs="Times New Roman"/>
          <w:b/>
          <w:bCs/>
          <w:sz w:val="24"/>
          <w:szCs w:val="24"/>
          <w:lang w:val="es-ES"/>
        </w:rPr>
        <w:t>El Financiero</w:t>
      </w:r>
      <w:r w:rsidRPr="00781FD6">
        <w:rPr>
          <w:rFonts w:ascii="Times New Roman" w:hAnsi="Times New Roman" w:cs="Times New Roman"/>
          <w:bCs/>
          <w:sz w:val="24"/>
          <w:szCs w:val="24"/>
          <w:lang w:val="es-ES"/>
        </w:rPr>
        <w:t>, 12 02 14</w:t>
      </w:r>
      <w:r>
        <w:rPr>
          <w:rFonts w:ascii="Times New Roman" w:hAnsi="Times New Roman" w:cs="Times New Roman"/>
          <w:bCs/>
          <w:sz w:val="24"/>
          <w:szCs w:val="24"/>
          <w:lang w:val="es-ES"/>
        </w:rPr>
        <w:t>.</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570C87">
        <w:rPr>
          <w:rFonts w:ascii="Times New Roman" w:hAnsi="Times New Roman" w:cs="Times New Roman"/>
          <w:sz w:val="24"/>
          <w:szCs w:val="24"/>
        </w:rPr>
        <w:t>Kochhar, Rakesh</w:t>
      </w:r>
    </w:p>
    <w:p w:rsidR="00BE3BB5" w:rsidRPr="00570C87" w:rsidRDefault="00BE3BB5" w:rsidP="00BE3BB5">
      <w:pPr>
        <w:spacing w:after="0" w:line="240" w:lineRule="auto"/>
        <w:jc w:val="both"/>
        <w:rPr>
          <w:rFonts w:ascii="Times New Roman" w:hAnsi="Times New Roman" w:cs="Times New Roman"/>
          <w:sz w:val="24"/>
          <w:szCs w:val="24"/>
        </w:rPr>
      </w:pPr>
      <w:r w:rsidRPr="00570C87">
        <w:rPr>
          <w:rFonts w:ascii="Times New Roman" w:hAnsi="Times New Roman" w:cs="Times New Roman"/>
          <w:sz w:val="24"/>
          <w:szCs w:val="24"/>
        </w:rPr>
        <w:t xml:space="preserve">2009, </w:t>
      </w:r>
      <w:r w:rsidRPr="00570C87">
        <w:rPr>
          <w:rFonts w:ascii="Times New Roman" w:hAnsi="Times New Roman" w:cs="Times New Roman"/>
          <w:i/>
          <w:sz w:val="24"/>
          <w:szCs w:val="24"/>
        </w:rPr>
        <w:t>Unemployment Rises Sharply among Latino Immigrants in 2008</w:t>
      </w:r>
      <w:r w:rsidRPr="00570C87">
        <w:rPr>
          <w:rFonts w:ascii="Times New Roman" w:hAnsi="Times New Roman" w:cs="Times New Roman"/>
          <w:sz w:val="24"/>
          <w:szCs w:val="24"/>
        </w:rPr>
        <w:t>, Wash</w:t>
      </w:r>
      <w:r w:rsidRPr="00570C87">
        <w:rPr>
          <w:rFonts w:ascii="Times New Roman" w:hAnsi="Times New Roman" w:cs="Times New Roman"/>
          <w:sz w:val="24"/>
          <w:szCs w:val="24"/>
        </w:rPr>
        <w:softHyphen/>
        <w:t>ington, D.C., Pew Hispanic Center, February 12.</w:t>
      </w:r>
    </w:p>
    <w:p w:rsidR="00BE3BB5" w:rsidRPr="00570C87"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570C87">
        <w:rPr>
          <w:rFonts w:ascii="Times New Roman" w:hAnsi="Times New Roman" w:cs="Times New Roman"/>
          <w:sz w:val="24"/>
          <w:szCs w:val="24"/>
        </w:rPr>
        <w:t>Kochhar, Rakesh, C. Soledad Espinoza, and Rebecca Hinze-Pifer</w:t>
      </w:r>
    </w:p>
    <w:p w:rsidR="00BE3BB5" w:rsidRDefault="00BE3BB5" w:rsidP="00BE3BB5">
      <w:pPr>
        <w:spacing w:after="0" w:line="240" w:lineRule="auto"/>
        <w:jc w:val="both"/>
        <w:rPr>
          <w:rFonts w:ascii="Times New Roman" w:hAnsi="Times New Roman" w:cs="Times New Roman"/>
          <w:sz w:val="24"/>
          <w:szCs w:val="24"/>
        </w:rPr>
      </w:pPr>
      <w:r w:rsidRPr="00570C87">
        <w:rPr>
          <w:rFonts w:ascii="Times New Roman" w:hAnsi="Times New Roman" w:cs="Times New Roman"/>
          <w:sz w:val="24"/>
          <w:szCs w:val="24"/>
        </w:rPr>
        <w:t xml:space="preserve">2010, </w:t>
      </w:r>
      <w:r w:rsidRPr="00570C87">
        <w:rPr>
          <w:rFonts w:ascii="Times New Roman" w:hAnsi="Times New Roman" w:cs="Times New Roman"/>
          <w:i/>
          <w:sz w:val="24"/>
          <w:szCs w:val="24"/>
        </w:rPr>
        <w:t>After the Great Recession: Foreign Born Gain Jobs; Native Born Lose Jobs,</w:t>
      </w:r>
      <w:r w:rsidRPr="00570C87">
        <w:rPr>
          <w:rFonts w:ascii="Times New Roman" w:hAnsi="Times New Roman" w:cs="Times New Roman"/>
          <w:sz w:val="24"/>
          <w:szCs w:val="24"/>
        </w:rPr>
        <w:t xml:space="preserve"> Pew Hispanic Center, Washington, D.C., October 29, http://www.pewhis panic.org/2010/10/29/after-the-great-recession-brforeign-born-gain-jobs -native-born-lose-jobs.</w:t>
      </w:r>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Lara Flores, Sara Ma., coord.</w:t>
      </w:r>
    </w:p>
    <w:p w:rsidR="00BE3BB5" w:rsidRPr="000B34CE" w:rsidRDefault="00BE3BB5" w:rsidP="00BE3BB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2010, </w:t>
      </w:r>
      <w:r>
        <w:rPr>
          <w:rFonts w:ascii="Times New Roman" w:hAnsi="Times New Roman" w:cs="Times New Roman"/>
          <w:b/>
          <w:bCs/>
          <w:iCs/>
          <w:sz w:val="24"/>
          <w:szCs w:val="24"/>
        </w:rPr>
        <w:t>Migraciones de trabajo y movilidad territorial</w:t>
      </w:r>
      <w:r>
        <w:rPr>
          <w:rFonts w:ascii="Times New Roman" w:hAnsi="Times New Roman" w:cs="Times New Roman"/>
          <w:bCs/>
          <w:iCs/>
          <w:sz w:val="24"/>
          <w:szCs w:val="24"/>
        </w:rPr>
        <w:t>, México, M.A. Porrúa.</w:t>
      </w:r>
    </w:p>
    <w:p w:rsidR="00BE3BB5" w:rsidRDefault="00BE3BB5" w:rsidP="00BE3BB5">
      <w:pPr>
        <w:spacing w:after="0" w:line="240" w:lineRule="auto"/>
        <w:jc w:val="both"/>
        <w:rPr>
          <w:rFonts w:ascii="Times New Roman" w:hAnsi="Times New Roman" w:cs="Times New Roman"/>
          <w:bCs/>
          <w:iCs/>
          <w:sz w:val="24"/>
          <w:szCs w:val="24"/>
        </w:rPr>
      </w:pPr>
    </w:p>
    <w:p w:rsidR="0059717E" w:rsidRDefault="00BE3BB5" w:rsidP="00BE3BB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Levine, Elaine y Alan LeBaron</w:t>
      </w:r>
    </w:p>
    <w:p w:rsidR="00BE3BB5" w:rsidRDefault="00BE3BB5" w:rsidP="00BE3BB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2011, </w:t>
      </w:r>
      <w:r>
        <w:rPr>
          <w:rFonts w:ascii="Times New Roman" w:hAnsi="Times New Roman" w:cs="Times New Roman"/>
          <w:bCs/>
          <w:i/>
          <w:iCs/>
          <w:sz w:val="24"/>
          <w:szCs w:val="24"/>
        </w:rPr>
        <w:t>Immigration policy in the southeastern United States: potential for internal conflict</w:t>
      </w:r>
      <w:r>
        <w:rPr>
          <w:rFonts w:ascii="Times New Roman" w:hAnsi="Times New Roman" w:cs="Times New Roman"/>
          <w:bCs/>
          <w:iCs/>
          <w:sz w:val="24"/>
          <w:szCs w:val="24"/>
        </w:rPr>
        <w:t xml:space="preserve">, </w:t>
      </w:r>
      <w:r>
        <w:rPr>
          <w:rFonts w:ascii="Times New Roman" w:hAnsi="Times New Roman" w:cs="Times New Roman"/>
          <w:b/>
          <w:bCs/>
          <w:iCs/>
          <w:sz w:val="24"/>
          <w:szCs w:val="24"/>
        </w:rPr>
        <w:t>Norteamérica</w:t>
      </w:r>
      <w:r>
        <w:rPr>
          <w:rFonts w:ascii="Times New Roman" w:hAnsi="Times New Roman" w:cs="Times New Roman"/>
          <w:bCs/>
          <w:iCs/>
          <w:sz w:val="24"/>
          <w:szCs w:val="24"/>
        </w:rPr>
        <w:t>, año 6, número especial 2011, México, CICAN/UNAM, p.5-31.</w:t>
      </w:r>
    </w:p>
    <w:p w:rsidR="00BE3BB5" w:rsidRDefault="00BE3BB5" w:rsidP="00BE3BB5">
      <w:pPr>
        <w:spacing w:after="0" w:line="240" w:lineRule="auto"/>
        <w:jc w:val="both"/>
        <w:rPr>
          <w:rFonts w:ascii="Times New Roman" w:hAnsi="Times New Roman" w:cs="Times New Roman"/>
          <w:bCs/>
          <w:iCs/>
          <w:sz w:val="24"/>
          <w:szCs w:val="24"/>
        </w:rPr>
      </w:pPr>
    </w:p>
    <w:p w:rsidR="0059717E" w:rsidRDefault="00BE3BB5" w:rsidP="00BE3BB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Levine, Elaine y Alan LeBaron</w:t>
      </w:r>
    </w:p>
    <w:p w:rsidR="00BE3BB5" w:rsidRDefault="00BE3BB5" w:rsidP="00BE3BB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2013, </w:t>
      </w:r>
      <w:r>
        <w:rPr>
          <w:rFonts w:ascii="Times New Roman" w:hAnsi="Times New Roman" w:cs="Times New Roman"/>
          <w:bCs/>
          <w:i/>
          <w:iCs/>
          <w:sz w:val="24"/>
          <w:szCs w:val="24"/>
        </w:rPr>
        <w:t>The 2013 Immigration Reform that wasn´t</w:t>
      </w:r>
      <w:r>
        <w:rPr>
          <w:rFonts w:ascii="Times New Roman" w:hAnsi="Times New Roman" w:cs="Times New Roman"/>
          <w:bCs/>
          <w:iCs/>
          <w:sz w:val="24"/>
          <w:szCs w:val="24"/>
        </w:rPr>
        <w:t xml:space="preserve">, </w:t>
      </w:r>
      <w:r>
        <w:rPr>
          <w:rFonts w:ascii="Times New Roman" w:hAnsi="Times New Roman" w:cs="Times New Roman"/>
          <w:b/>
          <w:bCs/>
          <w:iCs/>
          <w:sz w:val="24"/>
          <w:szCs w:val="24"/>
        </w:rPr>
        <w:t>Norteamérica</w:t>
      </w:r>
      <w:r>
        <w:rPr>
          <w:rFonts w:ascii="Times New Roman" w:hAnsi="Times New Roman" w:cs="Times New Roman"/>
          <w:bCs/>
          <w:iCs/>
          <w:sz w:val="24"/>
          <w:szCs w:val="24"/>
        </w:rPr>
        <w:t>, año 8, número especial 2013, México, CICAN/UNAM, p.5-27.</w:t>
      </w:r>
    </w:p>
    <w:p w:rsidR="00BE3BB5" w:rsidRDefault="00BE3BB5" w:rsidP="00BE3BB5">
      <w:pPr>
        <w:spacing w:after="0" w:line="240" w:lineRule="auto"/>
        <w:jc w:val="both"/>
        <w:rPr>
          <w:rFonts w:ascii="Times New Roman" w:hAnsi="Times New Roman" w:cs="Times New Roman"/>
          <w:bCs/>
          <w:iCs/>
          <w:sz w:val="24"/>
          <w:szCs w:val="24"/>
        </w:rPr>
      </w:pPr>
    </w:p>
    <w:p w:rsidR="0059717E" w:rsidRDefault="00BE3BB5" w:rsidP="00BE3BB5">
      <w:pPr>
        <w:spacing w:after="0" w:line="240" w:lineRule="auto"/>
        <w:jc w:val="both"/>
        <w:rPr>
          <w:rFonts w:ascii="Times New Roman" w:hAnsi="Times New Roman" w:cs="Times New Roman"/>
          <w:bCs/>
          <w:iCs/>
          <w:sz w:val="24"/>
          <w:szCs w:val="24"/>
        </w:rPr>
      </w:pPr>
      <w:r w:rsidRPr="00706FF7">
        <w:rPr>
          <w:rFonts w:ascii="Times New Roman" w:hAnsi="Times New Roman" w:cs="Times New Roman"/>
          <w:bCs/>
          <w:iCs/>
          <w:sz w:val="24"/>
          <w:szCs w:val="24"/>
        </w:rPr>
        <w:t xml:space="preserve">López, Jesarela y Carmen </w:t>
      </w:r>
      <w:r>
        <w:rPr>
          <w:rFonts w:ascii="Times New Roman" w:hAnsi="Times New Roman" w:cs="Times New Roman"/>
          <w:bCs/>
          <w:iCs/>
          <w:sz w:val="24"/>
          <w:szCs w:val="24"/>
        </w:rPr>
        <w:t>González</w:t>
      </w:r>
    </w:p>
    <w:p w:rsidR="00BE3BB5" w:rsidRDefault="00BE3BB5" w:rsidP="00BE3BB5">
      <w:pPr>
        <w:spacing w:after="0" w:line="240" w:lineRule="auto"/>
        <w:jc w:val="both"/>
        <w:rPr>
          <w:rFonts w:ascii="Times New Roman" w:hAnsi="Times New Roman" w:cs="Times New Roman"/>
          <w:bCs/>
          <w:iCs/>
          <w:sz w:val="24"/>
          <w:szCs w:val="24"/>
        </w:rPr>
      </w:pPr>
      <w:r w:rsidRPr="00706FF7">
        <w:rPr>
          <w:rFonts w:ascii="Times New Roman" w:hAnsi="Times New Roman" w:cs="Times New Roman"/>
          <w:bCs/>
          <w:iCs/>
          <w:sz w:val="24"/>
          <w:szCs w:val="24"/>
        </w:rPr>
        <w:t xml:space="preserve">2011, </w:t>
      </w:r>
      <w:r w:rsidRPr="00706FF7">
        <w:rPr>
          <w:rFonts w:ascii="Times New Roman" w:hAnsi="Times New Roman" w:cs="Times New Roman"/>
          <w:b/>
          <w:bCs/>
          <w:sz w:val="24"/>
          <w:szCs w:val="24"/>
        </w:rPr>
        <w:t xml:space="preserve">Diagnóstico del sector turismo en México, </w:t>
      </w:r>
      <w:r w:rsidRPr="00706FF7">
        <w:rPr>
          <w:rFonts w:ascii="Times New Roman" w:hAnsi="Times New Roman" w:cs="Times New Roman"/>
          <w:bCs/>
          <w:sz w:val="24"/>
          <w:szCs w:val="24"/>
        </w:rPr>
        <w:t>México, Fundación Preciado,</w:t>
      </w:r>
      <w:r w:rsidRPr="00706FF7">
        <w:rPr>
          <w:rFonts w:ascii="Times New Roman" w:hAnsi="Times New Roman" w:cs="Times New Roman"/>
          <w:b/>
          <w:bCs/>
          <w:sz w:val="24"/>
          <w:szCs w:val="24"/>
        </w:rPr>
        <w:t xml:space="preserve"> </w:t>
      </w:r>
      <w:r w:rsidRPr="00706FF7">
        <w:rPr>
          <w:rFonts w:ascii="Times New Roman" w:hAnsi="Times New Roman" w:cs="Times New Roman"/>
          <w:bCs/>
          <w:iCs/>
          <w:sz w:val="24"/>
          <w:szCs w:val="24"/>
        </w:rPr>
        <w:t>http://www.fundacionpreciado.org.mx/biencomun/bc204-205/Numeralia.pdf</w:t>
      </w:r>
    </w:p>
    <w:p w:rsidR="00BE3BB5" w:rsidRPr="007369A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7369A5">
        <w:rPr>
          <w:rFonts w:ascii="Times New Roman" w:hAnsi="Times New Roman" w:cs="Times New Roman"/>
          <w:sz w:val="24"/>
          <w:szCs w:val="24"/>
        </w:rPr>
        <w:t>Márquez Ayala, David</w:t>
      </w:r>
    </w:p>
    <w:p w:rsidR="00BE3BB5" w:rsidRPr="007369A5" w:rsidRDefault="00BE3BB5" w:rsidP="00BE3BB5">
      <w:pPr>
        <w:spacing w:after="0" w:line="240" w:lineRule="auto"/>
        <w:jc w:val="both"/>
        <w:rPr>
          <w:rFonts w:ascii="Times New Roman" w:hAnsi="Times New Roman" w:cs="Times New Roman"/>
          <w:sz w:val="24"/>
          <w:szCs w:val="24"/>
        </w:rPr>
      </w:pPr>
      <w:r w:rsidRPr="007369A5">
        <w:rPr>
          <w:rFonts w:ascii="Times New Roman" w:hAnsi="Times New Roman" w:cs="Times New Roman"/>
          <w:sz w:val="24"/>
          <w:szCs w:val="24"/>
        </w:rPr>
        <w:t xml:space="preserve">2005, </w:t>
      </w:r>
      <w:r w:rsidRPr="007369A5">
        <w:rPr>
          <w:rFonts w:ascii="Times New Roman" w:hAnsi="Times New Roman" w:cs="Times New Roman"/>
          <w:i/>
          <w:sz w:val="24"/>
          <w:szCs w:val="24"/>
        </w:rPr>
        <w:t>Vector Económico</w:t>
      </w:r>
      <w:r w:rsidRPr="007369A5">
        <w:rPr>
          <w:rFonts w:ascii="Times New Roman" w:hAnsi="Times New Roman" w:cs="Times New Roman"/>
          <w:sz w:val="24"/>
          <w:szCs w:val="24"/>
        </w:rPr>
        <w:t xml:space="preserve">, </w:t>
      </w:r>
      <w:r w:rsidRPr="007369A5">
        <w:rPr>
          <w:rFonts w:ascii="Times New Roman" w:hAnsi="Times New Roman" w:cs="Times New Roman"/>
          <w:b/>
          <w:sz w:val="24"/>
          <w:szCs w:val="24"/>
        </w:rPr>
        <w:t>La Jornada</w:t>
      </w:r>
      <w:r w:rsidRPr="007369A5">
        <w:rPr>
          <w:rFonts w:ascii="Times New Roman" w:hAnsi="Times New Roman" w:cs="Times New Roman"/>
          <w:sz w:val="24"/>
          <w:szCs w:val="24"/>
        </w:rPr>
        <w:t>, 18 04 05</w:t>
      </w:r>
    </w:p>
    <w:p w:rsidR="00BE3BB5" w:rsidRPr="007369A5" w:rsidRDefault="00BE3BB5" w:rsidP="00BE3BB5">
      <w:pPr>
        <w:spacing w:after="0" w:line="240" w:lineRule="auto"/>
        <w:jc w:val="both"/>
        <w:rPr>
          <w:rFonts w:ascii="Times New Roman" w:hAnsi="Times New Roman" w:cs="Times New Roman"/>
          <w:sz w:val="24"/>
          <w:szCs w:val="24"/>
        </w:rPr>
      </w:pPr>
      <w:r w:rsidRPr="007369A5">
        <w:rPr>
          <w:rFonts w:ascii="Times New Roman" w:hAnsi="Times New Roman" w:cs="Times New Roman"/>
          <w:sz w:val="24"/>
          <w:szCs w:val="24"/>
        </w:rPr>
        <w:t>http://www.vectoreconomico.com.mx/files/tematico.asp?IdReporte=128</w:t>
      </w:r>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Meyer, Lorenzo</w:t>
      </w:r>
    </w:p>
    <w:p w:rsidR="00BE3BB5" w:rsidRPr="00C64D7A" w:rsidRDefault="00BE3BB5"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2013, </w:t>
      </w:r>
      <w:r>
        <w:rPr>
          <w:rFonts w:ascii="Times New Roman" w:hAnsi="Times New Roman" w:cs="Times New Roman"/>
          <w:b/>
          <w:sz w:val="24"/>
          <w:szCs w:val="24"/>
        </w:rPr>
        <w:t>Nuestra tragedia persistente. La democracia autoritaria en México</w:t>
      </w:r>
      <w:r>
        <w:rPr>
          <w:rFonts w:ascii="Times New Roman" w:hAnsi="Times New Roman" w:cs="Times New Roman"/>
          <w:sz w:val="24"/>
          <w:szCs w:val="24"/>
        </w:rPr>
        <w:t>, México, Debate.</w:t>
      </w:r>
    </w:p>
    <w:p w:rsidR="00BE3BB5" w:rsidRDefault="00BE3BB5" w:rsidP="00BE3BB5">
      <w:pPr>
        <w:spacing w:after="0" w:line="240" w:lineRule="auto"/>
        <w:jc w:val="both"/>
        <w:rPr>
          <w:rFonts w:ascii="Times New Roman" w:hAnsi="Times New Roman" w:cs="Times New Roman"/>
          <w:sz w:val="24"/>
          <w:szCs w:val="24"/>
        </w:rPr>
      </w:pPr>
    </w:p>
    <w:p w:rsidR="00BE3BB5" w:rsidRPr="008D1265" w:rsidRDefault="00BE3BB5" w:rsidP="00BE3BB5">
      <w:pPr>
        <w:spacing w:after="0" w:line="240" w:lineRule="auto"/>
        <w:jc w:val="both"/>
        <w:rPr>
          <w:rFonts w:ascii="Times New Roman" w:hAnsi="Times New Roman" w:cs="Times New Roman"/>
          <w:sz w:val="24"/>
          <w:szCs w:val="24"/>
        </w:rPr>
      </w:pPr>
      <w:r w:rsidRPr="008D1265">
        <w:rPr>
          <w:rFonts w:ascii="Times New Roman" w:hAnsi="Times New Roman" w:cs="Times New Roman"/>
          <w:sz w:val="24"/>
          <w:szCs w:val="24"/>
        </w:rPr>
        <w:t>Obs</w:t>
      </w:r>
      <w:r>
        <w:rPr>
          <w:rFonts w:ascii="Times New Roman" w:hAnsi="Times New Roman" w:cs="Times New Roman"/>
          <w:sz w:val="24"/>
          <w:szCs w:val="24"/>
        </w:rPr>
        <w:t>ervatorio de Salarios de la UIA-</w:t>
      </w:r>
      <w:r w:rsidRPr="008D1265">
        <w:rPr>
          <w:rFonts w:ascii="Times New Roman" w:hAnsi="Times New Roman" w:cs="Times New Roman"/>
          <w:sz w:val="24"/>
          <w:szCs w:val="24"/>
        </w:rPr>
        <w:t>Puebla: https://es-es.facebook.com/pages/Observatorio-de-Salarios-de-la-Universidad-Iberoamericana-Puebla/287426537978649</w:t>
      </w:r>
      <w:r>
        <w:rPr>
          <w:rFonts w:ascii="Times New Roman" w:hAnsi="Times New Roman" w:cs="Times New Roman"/>
          <w:sz w:val="24"/>
          <w:szCs w:val="24"/>
        </w:rPr>
        <w:t xml:space="preserve"> </w:t>
      </w:r>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sz w:val="24"/>
          <w:szCs w:val="24"/>
          <w:lang w:val="en-US"/>
        </w:rPr>
      </w:pPr>
      <w:r w:rsidRPr="00B74090">
        <w:rPr>
          <w:rFonts w:ascii="Times New Roman" w:hAnsi="Times New Roman" w:cs="Times New Roman"/>
          <w:sz w:val="24"/>
          <w:szCs w:val="24"/>
          <w:lang w:val="en-US"/>
        </w:rPr>
        <w:lastRenderedPageBreak/>
        <w:t>Passel, Jeffrey S. y Cohn, D’Vera</w:t>
      </w:r>
    </w:p>
    <w:p w:rsidR="00BE3BB5" w:rsidRDefault="00BE3BB5" w:rsidP="00BE3BB5">
      <w:pPr>
        <w:spacing w:after="0" w:line="240" w:lineRule="auto"/>
        <w:jc w:val="both"/>
        <w:rPr>
          <w:rFonts w:ascii="Times New Roman" w:hAnsi="Times New Roman" w:cs="Times New Roman"/>
          <w:sz w:val="24"/>
          <w:szCs w:val="24"/>
          <w:lang w:val="en-US"/>
        </w:rPr>
      </w:pPr>
      <w:r w:rsidRPr="00B74090">
        <w:rPr>
          <w:rFonts w:ascii="Times New Roman" w:hAnsi="Times New Roman" w:cs="Times New Roman"/>
          <w:sz w:val="24"/>
          <w:szCs w:val="24"/>
          <w:lang w:val="en-US"/>
        </w:rPr>
        <w:t xml:space="preserve">2010, </w:t>
      </w:r>
      <w:r w:rsidRPr="00B74090">
        <w:rPr>
          <w:rFonts w:ascii="Times New Roman" w:hAnsi="Times New Roman" w:cs="Times New Roman"/>
          <w:b/>
          <w:sz w:val="24"/>
          <w:szCs w:val="24"/>
          <w:lang w:val="en-US"/>
        </w:rPr>
        <w:t>US Unauthorized Immigration Flows Are Down Sharply Since Mid-Decade</w:t>
      </w:r>
      <w:r w:rsidRPr="00B74090">
        <w:rPr>
          <w:rFonts w:ascii="Times New Roman" w:hAnsi="Times New Roman" w:cs="Times New Roman"/>
          <w:sz w:val="24"/>
          <w:szCs w:val="24"/>
          <w:lang w:val="en-US"/>
        </w:rPr>
        <w:t>, Pew Hispanic Center (</w:t>
      </w:r>
      <w:hyperlink r:id="rId14" w:history="1">
        <w:r w:rsidRPr="00B74090">
          <w:rPr>
            <w:rStyle w:val="Hipervnculo"/>
            <w:rFonts w:ascii="Times New Roman" w:hAnsi="Times New Roman" w:cs="Times New Roman"/>
            <w:sz w:val="24"/>
            <w:szCs w:val="24"/>
            <w:lang w:val="en-US"/>
          </w:rPr>
          <w:t>http://www.pewhispanic.org/</w:t>
        </w:r>
      </w:hyperlink>
      <w:r w:rsidRPr="00B74090">
        <w:rPr>
          <w:rFonts w:ascii="Times New Roman" w:hAnsi="Times New Roman" w:cs="Times New Roman"/>
          <w:sz w:val="24"/>
          <w:szCs w:val="24"/>
          <w:lang w:val="en-US"/>
        </w:rPr>
        <w:t xml:space="preserve">  ), Washington, DC, 1 de </w:t>
      </w:r>
      <w:r w:rsidRPr="0069036C">
        <w:rPr>
          <w:rFonts w:ascii="Times New Roman" w:hAnsi="Times New Roman" w:cs="Times New Roman"/>
          <w:sz w:val="24"/>
          <w:szCs w:val="24"/>
        </w:rPr>
        <w:t>septiembre</w:t>
      </w:r>
      <w:r w:rsidRPr="00B74090">
        <w:rPr>
          <w:rFonts w:ascii="Times New Roman" w:hAnsi="Times New Roman" w:cs="Times New Roman"/>
          <w:sz w:val="24"/>
          <w:szCs w:val="24"/>
          <w:lang w:val="en-US"/>
        </w:rPr>
        <w:t>.</w:t>
      </w:r>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Reyes Heroles G.G.</w:t>
      </w:r>
    </w:p>
    <w:p w:rsidR="00BE3BB5" w:rsidRPr="009277BD" w:rsidRDefault="00BE3BB5" w:rsidP="00BE3BB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Jesús, 2015, ¿</w:t>
      </w:r>
      <w:r>
        <w:rPr>
          <w:rFonts w:ascii="Times New Roman" w:hAnsi="Times New Roman" w:cs="Times New Roman"/>
          <w:i/>
          <w:sz w:val="24"/>
          <w:szCs w:val="24"/>
          <w:lang w:val="en-US"/>
        </w:rPr>
        <w:t>Ahogar a PEMEX?</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El Universal</w:t>
      </w:r>
      <w:r>
        <w:rPr>
          <w:rFonts w:ascii="Times New Roman" w:hAnsi="Times New Roman" w:cs="Times New Roman"/>
          <w:sz w:val="24"/>
          <w:szCs w:val="24"/>
          <w:lang w:val="en-US"/>
        </w:rPr>
        <w:t>, 12 de febrero.</w:t>
      </w:r>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Reyes H., Miguel S.</w:t>
      </w:r>
    </w:p>
    <w:p w:rsidR="00BE3BB5" w:rsidRPr="00115B8A" w:rsidRDefault="00BE3BB5" w:rsidP="00BE3BB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2011, </w:t>
      </w:r>
      <w:r w:rsidRPr="00115B8A">
        <w:rPr>
          <w:rFonts w:ascii="Times New Roman" w:hAnsi="Times New Roman" w:cs="Times New Roman"/>
          <w:b/>
          <w:sz w:val="24"/>
          <w:szCs w:val="24"/>
        </w:rPr>
        <w:t>Análisis</w:t>
      </w:r>
      <w:r>
        <w:rPr>
          <w:rFonts w:ascii="Times New Roman" w:hAnsi="Times New Roman" w:cs="Times New Roman"/>
          <w:b/>
          <w:sz w:val="24"/>
          <w:szCs w:val="24"/>
          <w:lang w:val="en-US"/>
        </w:rPr>
        <w:t xml:space="preserve"> Político. Los salarios en México</w:t>
      </w:r>
      <w:r>
        <w:rPr>
          <w:rFonts w:ascii="Times New Roman" w:hAnsi="Times New Roman" w:cs="Times New Roman"/>
          <w:sz w:val="24"/>
          <w:szCs w:val="24"/>
          <w:lang w:val="en-US"/>
        </w:rPr>
        <w:t>. México, Friederich Ebert Stiftung.</w:t>
      </w:r>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sz w:val="24"/>
          <w:szCs w:val="24"/>
          <w:lang w:val="en-US"/>
        </w:rPr>
      </w:pPr>
      <w:r w:rsidRPr="00174A2C">
        <w:rPr>
          <w:rFonts w:ascii="Times New Roman" w:hAnsi="Times New Roman" w:cs="Times New Roman"/>
          <w:sz w:val="24"/>
          <w:szCs w:val="24"/>
          <w:lang w:val="en-US"/>
        </w:rPr>
        <w:t>Rubio-Goldsmith</w:t>
      </w:r>
      <w:r>
        <w:rPr>
          <w:rFonts w:ascii="Times New Roman" w:hAnsi="Times New Roman" w:cs="Times New Roman"/>
          <w:sz w:val="24"/>
          <w:szCs w:val="24"/>
          <w:lang w:val="en-US"/>
        </w:rPr>
        <w:t>,</w:t>
      </w:r>
      <w:r w:rsidRPr="00174A2C">
        <w:rPr>
          <w:rFonts w:ascii="Times New Roman" w:hAnsi="Times New Roman" w:cs="Times New Roman"/>
          <w:sz w:val="24"/>
          <w:szCs w:val="24"/>
          <w:lang w:val="en-US"/>
        </w:rPr>
        <w:t xml:space="preserve"> Raquel, M. Melissa McCormick, Daniel Martinez y Inez Magdalena Duarte</w:t>
      </w:r>
    </w:p>
    <w:p w:rsidR="00BE3BB5" w:rsidRDefault="0059717E"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2006</w:t>
      </w:r>
      <w:r w:rsidR="00BE3BB5" w:rsidRPr="00174A2C">
        <w:rPr>
          <w:rFonts w:ascii="Times New Roman" w:hAnsi="Times New Roman" w:cs="Times New Roman"/>
          <w:sz w:val="24"/>
          <w:szCs w:val="24"/>
          <w:lang w:val="en-US"/>
        </w:rPr>
        <w:t>, The “funnel efect &amp;recobered bodiesof inauthorized migrants</w:t>
      </w:r>
      <w:r w:rsidR="00BE3BB5" w:rsidRPr="00174A2C">
        <w:rPr>
          <w:rFonts w:ascii="Times New Roman" w:hAnsi="Times New Roman" w:cs="Times New Roman"/>
          <w:bCs/>
          <w:sz w:val="24"/>
          <w:szCs w:val="24"/>
          <w:lang w:val="en-US"/>
        </w:rPr>
        <w:t xml:space="preserve"> prosscesed by the Pima County Office of the medical examiner, 1990-2005 </w:t>
      </w:r>
      <w:hyperlink r:id="rId15" w:history="1">
        <w:r w:rsidR="00BE3BB5" w:rsidRPr="00174A2C">
          <w:rPr>
            <w:rStyle w:val="Hipervnculo"/>
            <w:rFonts w:ascii="Times New Roman" w:hAnsi="Times New Roman" w:cs="Times New Roman"/>
            <w:sz w:val="24"/>
            <w:szCs w:val="24"/>
            <w:lang w:val="en-US"/>
          </w:rPr>
          <w:t>www.ailf.org/ipc/policybrief/policybrief_020607.pdf</w:t>
        </w:r>
      </w:hyperlink>
    </w:p>
    <w:p w:rsidR="00BE3BB5" w:rsidRDefault="00BE3BB5" w:rsidP="00BE3BB5">
      <w:pPr>
        <w:spacing w:after="0" w:line="240" w:lineRule="auto"/>
        <w:jc w:val="both"/>
        <w:rPr>
          <w:rFonts w:ascii="Times New Roman" w:hAnsi="Times New Roman" w:cs="Times New Roman"/>
          <w:sz w:val="24"/>
          <w:szCs w:val="24"/>
          <w:lang w:val="en-US"/>
        </w:rPr>
      </w:pPr>
    </w:p>
    <w:p w:rsidR="0059717E" w:rsidRDefault="00BE3BB5" w:rsidP="00BE3BB5">
      <w:pPr>
        <w:spacing w:after="0" w:line="240" w:lineRule="auto"/>
        <w:jc w:val="both"/>
        <w:rPr>
          <w:rFonts w:ascii="Times New Roman" w:hAnsi="Times New Roman" w:cs="Times New Roman"/>
          <w:sz w:val="24"/>
          <w:szCs w:val="24"/>
        </w:rPr>
      </w:pPr>
      <w:r w:rsidRPr="0069036C">
        <w:rPr>
          <w:rFonts w:ascii="Times New Roman" w:hAnsi="Times New Roman" w:cs="Times New Roman"/>
          <w:sz w:val="24"/>
          <w:szCs w:val="24"/>
        </w:rPr>
        <w:t>Ruiz Nápoles, Pablo y Juan Luis Ordaz D.</w:t>
      </w:r>
    </w:p>
    <w:p w:rsidR="00BE3BB5" w:rsidRPr="0069036C" w:rsidRDefault="0059717E" w:rsidP="00BE3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2014</w:t>
      </w:r>
      <w:r w:rsidR="00BE3BB5" w:rsidRPr="0069036C">
        <w:rPr>
          <w:rFonts w:ascii="Times New Roman" w:hAnsi="Times New Roman" w:cs="Times New Roman"/>
          <w:sz w:val="24"/>
          <w:szCs w:val="24"/>
        </w:rPr>
        <w:t xml:space="preserve">, </w:t>
      </w:r>
      <w:r w:rsidR="00BE3BB5" w:rsidRPr="0069036C">
        <w:rPr>
          <w:rFonts w:ascii="Times New Roman" w:hAnsi="Times New Roman" w:cs="Times New Roman"/>
          <w:i/>
          <w:sz w:val="24"/>
          <w:szCs w:val="24"/>
        </w:rPr>
        <w:t>Evolución reciente del empleo y el desempleo en México</w:t>
      </w:r>
      <w:r w:rsidR="00BE3BB5" w:rsidRPr="0069036C">
        <w:rPr>
          <w:rFonts w:ascii="Times New Roman" w:hAnsi="Times New Roman" w:cs="Times New Roman"/>
          <w:sz w:val="24"/>
          <w:szCs w:val="24"/>
        </w:rPr>
        <w:t xml:space="preserve">, en: </w:t>
      </w:r>
      <w:r w:rsidR="00BE3BB5" w:rsidRPr="0069036C">
        <w:rPr>
          <w:rFonts w:ascii="Times New Roman" w:hAnsi="Times New Roman" w:cs="Times New Roman"/>
          <w:b/>
          <w:sz w:val="24"/>
          <w:szCs w:val="24"/>
        </w:rPr>
        <w:t>Economía</w:t>
      </w:r>
      <w:r w:rsidR="00BE3BB5" w:rsidRPr="0069036C">
        <w:rPr>
          <w:rFonts w:ascii="Times New Roman" w:hAnsi="Times New Roman" w:cs="Times New Roman"/>
          <w:sz w:val="24"/>
          <w:szCs w:val="24"/>
        </w:rPr>
        <w:t>, v.8, n.23, México, UNAM, p.91-105.</w:t>
      </w:r>
    </w:p>
    <w:p w:rsidR="00BE3BB5" w:rsidRDefault="00BE3BB5" w:rsidP="00BE3BB5">
      <w:pPr>
        <w:spacing w:after="0" w:line="240" w:lineRule="auto"/>
        <w:jc w:val="both"/>
        <w:rPr>
          <w:rFonts w:ascii="Times New Roman" w:hAnsi="Times New Roman" w:cs="Times New Roman"/>
          <w:sz w:val="24"/>
          <w:szCs w:val="24"/>
        </w:rPr>
      </w:pPr>
    </w:p>
    <w:p w:rsidR="0059717E"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Sandoval P., Juan Manuel</w:t>
      </w:r>
    </w:p>
    <w:p w:rsidR="00BE3BB5" w:rsidRPr="00B74090" w:rsidRDefault="00BE3BB5" w:rsidP="00BE3BB5">
      <w:pPr>
        <w:spacing w:after="0" w:line="240" w:lineRule="auto"/>
        <w:jc w:val="both"/>
        <w:rPr>
          <w:rFonts w:ascii="Times New Roman" w:hAnsi="Times New Roman" w:cs="Times New Roman"/>
          <w:sz w:val="24"/>
          <w:szCs w:val="24"/>
        </w:rPr>
      </w:pPr>
      <w:r w:rsidRPr="00B74090">
        <w:rPr>
          <w:rFonts w:ascii="Times New Roman" w:hAnsi="Times New Roman" w:cs="Times New Roman"/>
          <w:sz w:val="24"/>
          <w:szCs w:val="24"/>
        </w:rPr>
        <w:t xml:space="preserve">2007, </w:t>
      </w:r>
      <w:r w:rsidRPr="00B74090">
        <w:rPr>
          <w:rFonts w:ascii="Times New Roman" w:hAnsi="Times New Roman" w:cs="Times New Roman"/>
          <w:i/>
          <w:sz w:val="24"/>
          <w:szCs w:val="24"/>
        </w:rPr>
        <w:t>Migrantes latinoamericanos. Reserva laboral transnacional del capitalismo de libre comercio en América del Norte y la Unión Europea</w:t>
      </w:r>
      <w:r w:rsidRPr="00B74090">
        <w:rPr>
          <w:rFonts w:ascii="Times New Roman" w:hAnsi="Times New Roman" w:cs="Times New Roman"/>
          <w:sz w:val="24"/>
          <w:szCs w:val="24"/>
        </w:rPr>
        <w:t xml:space="preserve">, </w:t>
      </w:r>
      <w:r w:rsidRPr="00B74090">
        <w:rPr>
          <w:rFonts w:ascii="Times New Roman" w:hAnsi="Times New Roman" w:cs="Times New Roman"/>
          <w:b/>
          <w:sz w:val="24"/>
          <w:szCs w:val="24"/>
        </w:rPr>
        <w:t>Veredas</w:t>
      </w:r>
      <w:r w:rsidRPr="00B74090">
        <w:rPr>
          <w:rFonts w:ascii="Times New Roman" w:hAnsi="Times New Roman" w:cs="Times New Roman"/>
          <w:sz w:val="24"/>
          <w:szCs w:val="24"/>
        </w:rPr>
        <w:t>, Año8, N.15, segundo semestre, México, UAM-X, p.7-29.</w:t>
      </w:r>
    </w:p>
    <w:p w:rsidR="00BE3BB5" w:rsidRDefault="00BE3BB5" w:rsidP="00BE3BB5">
      <w:pPr>
        <w:rPr>
          <w:rFonts w:ascii="Times New Roman" w:hAnsi="Times New Roman" w:cs="Times New Roman"/>
          <w:sz w:val="24"/>
          <w:szCs w:val="24"/>
        </w:rPr>
      </w:pPr>
    </w:p>
    <w:p w:rsidR="00BE3BB5" w:rsidRDefault="00BE3BB5" w:rsidP="00BE3BB5">
      <w:pPr>
        <w:rPr>
          <w:rFonts w:ascii="Times New Roman" w:hAnsi="Times New Roman" w:cs="Times New Roman"/>
          <w:b/>
          <w:sz w:val="24"/>
          <w:szCs w:val="24"/>
        </w:rPr>
      </w:pPr>
      <w:r>
        <w:rPr>
          <w:rFonts w:ascii="Times New Roman" w:hAnsi="Times New Roman" w:cs="Times New Roman"/>
          <w:b/>
          <w:sz w:val="24"/>
          <w:szCs w:val="24"/>
        </w:rPr>
        <w:t xml:space="preserve">Documentos y páginas web del </w:t>
      </w:r>
      <w:r w:rsidRPr="00B43A20">
        <w:rPr>
          <w:rFonts w:ascii="Times New Roman" w:hAnsi="Times New Roman" w:cs="Times New Roman"/>
          <w:b/>
          <w:sz w:val="24"/>
          <w:szCs w:val="24"/>
        </w:rPr>
        <w:t>Banco de México:</w:t>
      </w:r>
    </w:p>
    <w:p w:rsidR="00BE3BB5" w:rsidRDefault="00BE3BB5" w:rsidP="00BE3BB5">
      <w:pPr>
        <w:spacing w:after="0" w:line="240" w:lineRule="auto"/>
        <w:rPr>
          <w:rFonts w:ascii="Times New Roman" w:hAnsi="Times New Roman" w:cs="Times New Roman"/>
          <w:sz w:val="24"/>
          <w:szCs w:val="24"/>
        </w:rPr>
      </w:pPr>
      <w:r w:rsidRPr="00B43A20">
        <w:rPr>
          <w:rFonts w:ascii="Times New Roman" w:hAnsi="Times New Roman" w:cs="Times New Roman"/>
          <w:sz w:val="24"/>
          <w:szCs w:val="24"/>
        </w:rPr>
        <w:t>Banco de México, 2014, Grupo de Trabajo de Estadísticas de Comercio Exterior, integrado por el Banco de México, el INEGI, el Servicio de Administración Tributaria y la Secretaría de Economía.</w:t>
      </w:r>
      <w:r>
        <w:rPr>
          <w:rFonts w:ascii="Times New Roman" w:hAnsi="Times New Roman" w:cs="Times New Roman"/>
          <w:sz w:val="24"/>
          <w:szCs w:val="24"/>
        </w:rPr>
        <w:t xml:space="preserve"> </w:t>
      </w:r>
      <w:hyperlink r:id="rId16" w:history="1">
        <w:r w:rsidRPr="00B43A20">
          <w:rPr>
            <w:rStyle w:val="Hipervnculo"/>
            <w:rFonts w:ascii="Times New Roman" w:hAnsi="Times New Roman" w:cs="Times New Roman"/>
            <w:sz w:val="24"/>
            <w:szCs w:val="24"/>
          </w:rPr>
          <w:t>http://www.banxico.org.mx/SieInternet/consultarDirectorioInternetAction.do?accion=consultarCuadro&amp;idCuadro=CE121&amp;sector=1&amp;locale=es</w:t>
        </w:r>
      </w:hyperlink>
      <w:r w:rsidRPr="00B43A20">
        <w:rPr>
          <w:rFonts w:ascii="Times New Roman" w:hAnsi="Times New Roman" w:cs="Times New Roman"/>
          <w:sz w:val="24"/>
          <w:szCs w:val="24"/>
        </w:rPr>
        <w:t xml:space="preserve"> (última consulta: 14 11 14).</w:t>
      </w:r>
    </w:p>
    <w:p w:rsidR="00BE3BB5" w:rsidRPr="00B43A20" w:rsidRDefault="00BE3BB5" w:rsidP="00BE3BB5">
      <w:pPr>
        <w:spacing w:after="0" w:line="240" w:lineRule="auto"/>
        <w:rPr>
          <w:rFonts w:ascii="Times New Roman" w:hAnsi="Times New Roman" w:cs="Times New Roman"/>
          <w:sz w:val="24"/>
          <w:szCs w:val="24"/>
        </w:rPr>
      </w:pPr>
    </w:p>
    <w:p w:rsidR="00BE3BB5" w:rsidRDefault="00BE3BB5" w:rsidP="00BE3BB5">
      <w:pPr>
        <w:spacing w:after="0" w:line="240" w:lineRule="auto"/>
        <w:rPr>
          <w:rFonts w:ascii="Times New Roman" w:hAnsi="Times New Roman" w:cs="Times New Roman"/>
          <w:sz w:val="24"/>
          <w:szCs w:val="24"/>
        </w:rPr>
      </w:pPr>
      <w:r w:rsidRPr="00162994">
        <w:rPr>
          <w:rFonts w:ascii="Times New Roman" w:hAnsi="Times New Roman" w:cs="Times New Roman"/>
          <w:sz w:val="24"/>
          <w:szCs w:val="24"/>
        </w:rPr>
        <w:t>Banco de México</w:t>
      </w:r>
      <w:r>
        <w:rPr>
          <w:rFonts w:ascii="Times New Roman" w:hAnsi="Times New Roman" w:cs="Times New Roman"/>
          <w:sz w:val="24"/>
          <w:szCs w:val="24"/>
        </w:rPr>
        <w:t xml:space="preserve">, </w:t>
      </w:r>
      <w:r w:rsidRPr="00162994">
        <w:rPr>
          <w:rFonts w:ascii="Times New Roman" w:hAnsi="Times New Roman" w:cs="Times New Roman"/>
          <w:sz w:val="24"/>
          <w:szCs w:val="24"/>
        </w:rPr>
        <w:t>2007</w:t>
      </w:r>
      <w:r>
        <w:rPr>
          <w:rFonts w:ascii="Times New Roman" w:hAnsi="Times New Roman" w:cs="Times New Roman"/>
          <w:sz w:val="24"/>
          <w:szCs w:val="24"/>
        </w:rPr>
        <w:t>, I</w:t>
      </w:r>
      <w:r w:rsidRPr="00162994">
        <w:rPr>
          <w:rFonts w:ascii="Times New Roman" w:hAnsi="Times New Roman" w:cs="Times New Roman"/>
          <w:sz w:val="24"/>
          <w:szCs w:val="24"/>
        </w:rPr>
        <w:t xml:space="preserve">nforme </w:t>
      </w:r>
      <w:r w:rsidRPr="00B43A20">
        <w:rPr>
          <w:rFonts w:ascii="Times New Roman" w:hAnsi="Times New Roman" w:cs="Times New Roman"/>
          <w:b/>
          <w:sz w:val="24"/>
          <w:szCs w:val="24"/>
        </w:rPr>
        <w:t>Las remesas familiares en México</w:t>
      </w:r>
      <w:r>
        <w:rPr>
          <w:rFonts w:ascii="Times New Roman" w:hAnsi="Times New Roman" w:cs="Times New Roman"/>
          <w:sz w:val="24"/>
          <w:szCs w:val="24"/>
        </w:rPr>
        <w:t>.</w:t>
      </w:r>
    </w:p>
    <w:p w:rsidR="00BE3BB5" w:rsidRDefault="00BE3BB5" w:rsidP="00BE3BB5">
      <w:pPr>
        <w:spacing w:after="0" w:line="240" w:lineRule="auto"/>
        <w:rPr>
          <w:rFonts w:ascii="Times New Roman" w:hAnsi="Times New Roman" w:cs="Times New Roman"/>
          <w:sz w:val="24"/>
          <w:szCs w:val="24"/>
        </w:rPr>
      </w:pPr>
    </w:p>
    <w:p w:rsidR="00BE3BB5" w:rsidRDefault="00BE3BB5" w:rsidP="00BE3BB5">
      <w:pPr>
        <w:spacing w:after="0" w:line="240" w:lineRule="auto"/>
        <w:jc w:val="both"/>
        <w:rPr>
          <w:rFonts w:ascii="Times New Roman" w:hAnsi="Times New Roman" w:cs="Times New Roman"/>
          <w:sz w:val="24"/>
          <w:szCs w:val="24"/>
        </w:rPr>
      </w:pPr>
      <w:r w:rsidRPr="004D454C">
        <w:rPr>
          <w:rFonts w:ascii="Times New Roman" w:hAnsi="Times New Roman" w:cs="Times New Roman"/>
          <w:sz w:val="24"/>
          <w:szCs w:val="24"/>
        </w:rPr>
        <w:t>http://www.banxico.org.mx/SieInternet/consultarDirectorioInternetAction.do?accion=consultarCuadroAnalitico&amp;idCuadro=CA194&amp;sector=1&amp;locale=es</w:t>
      </w:r>
    </w:p>
    <w:p w:rsidR="00BE3BB5" w:rsidRDefault="00BE3BB5" w:rsidP="00BE3BB5">
      <w:pPr>
        <w:spacing w:after="0" w:line="240" w:lineRule="auto"/>
        <w:jc w:val="both"/>
        <w:rPr>
          <w:rFonts w:ascii="Times New Roman" w:hAnsi="Times New Roman" w:cs="Times New Roman"/>
          <w:bCs/>
          <w:sz w:val="24"/>
          <w:szCs w:val="24"/>
        </w:rPr>
      </w:pPr>
    </w:p>
    <w:p w:rsidR="00BE3BB5" w:rsidRDefault="00BE3BB5" w:rsidP="00BE3BB5">
      <w:pPr>
        <w:spacing w:after="0" w:line="240" w:lineRule="auto"/>
        <w:jc w:val="both"/>
        <w:rPr>
          <w:rFonts w:ascii="Times New Roman" w:hAnsi="Times New Roman" w:cs="Times New Roman"/>
          <w:bCs/>
          <w:sz w:val="24"/>
          <w:szCs w:val="24"/>
        </w:rPr>
      </w:pPr>
      <w:r w:rsidRPr="006B083B">
        <w:rPr>
          <w:rFonts w:ascii="Times New Roman" w:hAnsi="Times New Roman" w:cs="Times New Roman"/>
          <w:bCs/>
          <w:sz w:val="24"/>
          <w:szCs w:val="24"/>
        </w:rPr>
        <w:t>http://www.banxico.org.mx/informacion-para-la-prensa/comunicados/sector-externo/balanza-de-pagos/%7B64F8BD8D-11D3-69D8-D617-71C60E032743%7D.pdf</w:t>
      </w:r>
      <w:r>
        <w:rPr>
          <w:rFonts w:ascii="Times New Roman" w:hAnsi="Times New Roman" w:cs="Times New Roman"/>
          <w:bCs/>
          <w:sz w:val="24"/>
          <w:szCs w:val="24"/>
        </w:rPr>
        <w:t xml:space="preserve"> </w:t>
      </w:r>
      <w:r w:rsidRPr="006B083B">
        <w:rPr>
          <w:rFonts w:ascii="Times New Roman" w:hAnsi="Times New Roman" w:cs="Times New Roman"/>
          <w:bCs/>
          <w:sz w:val="24"/>
          <w:szCs w:val="24"/>
        </w:rPr>
        <w:t xml:space="preserve"> (última consulta: 27 02 15)</w:t>
      </w:r>
      <w:r>
        <w:rPr>
          <w:rFonts w:ascii="Times New Roman" w:hAnsi="Times New Roman" w:cs="Times New Roman"/>
          <w:bCs/>
          <w:sz w:val="24"/>
          <w:szCs w:val="24"/>
        </w:rPr>
        <w:t>.</w:t>
      </w:r>
    </w:p>
    <w:p w:rsidR="00BE3BB5" w:rsidRDefault="00BE3BB5" w:rsidP="00BE3BB5">
      <w:pPr>
        <w:spacing w:after="0" w:line="240" w:lineRule="auto"/>
        <w:rPr>
          <w:rFonts w:ascii="Times New Roman" w:hAnsi="Times New Roman" w:cs="Times New Roman"/>
          <w:sz w:val="24"/>
          <w:szCs w:val="24"/>
        </w:rPr>
      </w:pPr>
    </w:p>
    <w:p w:rsidR="00474500" w:rsidRPr="00E9608A" w:rsidRDefault="003F6772" w:rsidP="00EC0656">
      <w:pPr>
        <w:spacing w:after="0" w:line="240" w:lineRule="auto"/>
        <w:rPr>
          <w:rFonts w:ascii="Times New Roman" w:hAnsi="Times New Roman" w:cs="Times New Roman"/>
          <w:sz w:val="24"/>
          <w:szCs w:val="24"/>
        </w:rPr>
      </w:pPr>
      <w:hyperlink r:id="rId17" w:history="1">
        <w:r w:rsidR="00BE3BB5" w:rsidRPr="00F35266">
          <w:rPr>
            <w:rStyle w:val="Hipervnculo"/>
            <w:rFonts w:ascii="Times New Roman" w:hAnsi="Times New Roman" w:cs="Times New Roman"/>
            <w:sz w:val="24"/>
            <w:szCs w:val="24"/>
          </w:rPr>
          <w:t>http://www.banxico.org.mx/SieInternet/consultarDirectorioInternetAction.do?accion=consultarCuadroAnalitico&amp;idCuadro=CA199&amp;sector=1&amp;locale=es</w:t>
        </w:r>
      </w:hyperlink>
      <w:r w:rsidR="00BE3BB5" w:rsidRPr="00F35266">
        <w:rPr>
          <w:rFonts w:ascii="Times New Roman" w:hAnsi="Times New Roman" w:cs="Times New Roman"/>
          <w:sz w:val="24"/>
          <w:szCs w:val="24"/>
        </w:rPr>
        <w:t xml:space="preserve"> (última consulta: 14/11/2014).</w:t>
      </w:r>
    </w:p>
    <w:sectPr w:rsidR="00474500" w:rsidRPr="00E9608A" w:rsidSect="00474500">
      <w:footerReference w:type="default" r:id="rId1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B41" w:rsidRDefault="00D66B41" w:rsidP="00E9608A">
      <w:pPr>
        <w:spacing w:after="0" w:line="240" w:lineRule="auto"/>
      </w:pPr>
      <w:r>
        <w:separator/>
      </w:r>
    </w:p>
  </w:endnote>
  <w:endnote w:type="continuationSeparator" w:id="1">
    <w:p w:rsidR="00D66B41" w:rsidRDefault="00D66B41" w:rsidP="00E96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222164"/>
      <w:docPartObj>
        <w:docPartGallery w:val="Page Numbers (Bottom of Page)"/>
        <w:docPartUnique/>
      </w:docPartObj>
    </w:sdtPr>
    <w:sdtContent>
      <w:p w:rsidR="00BE3BB5" w:rsidRDefault="003F6772">
        <w:pPr>
          <w:pStyle w:val="Piedepgina"/>
          <w:jc w:val="right"/>
        </w:pPr>
        <w:fldSimple w:instr=" PAGE   \* MERGEFORMAT ">
          <w:r w:rsidR="00FD19CD">
            <w:rPr>
              <w:noProof/>
            </w:rPr>
            <w:t>2</w:t>
          </w:r>
        </w:fldSimple>
      </w:p>
    </w:sdtContent>
  </w:sdt>
  <w:p w:rsidR="00BE3BB5" w:rsidRDefault="00BE3B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B41" w:rsidRDefault="00D66B41" w:rsidP="00E9608A">
      <w:pPr>
        <w:spacing w:after="0" w:line="240" w:lineRule="auto"/>
      </w:pPr>
      <w:r>
        <w:separator/>
      </w:r>
    </w:p>
  </w:footnote>
  <w:footnote w:type="continuationSeparator" w:id="1">
    <w:p w:rsidR="00D66B41" w:rsidRDefault="00D66B41" w:rsidP="00E9608A">
      <w:pPr>
        <w:spacing w:after="0" w:line="240" w:lineRule="auto"/>
      </w:pPr>
      <w:r>
        <w:continuationSeparator/>
      </w:r>
    </w:p>
  </w:footnote>
  <w:footnote w:id="2">
    <w:p w:rsidR="00BE3BB5" w:rsidRPr="00457CC2" w:rsidRDefault="00BE3BB5" w:rsidP="00095801">
      <w:pPr>
        <w:pStyle w:val="Textonotapie"/>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El otro gran pilar, la exportación de la maquila formal y ampliada, queda fuera del análisis y se remite a los lectores al excelente tratamiento que de él se hace en el libro de Cypher </w:t>
      </w:r>
      <w:r>
        <w:rPr>
          <w:rFonts w:ascii="Times New Roman" w:hAnsi="Times New Roman" w:cs="Times New Roman"/>
        </w:rPr>
        <w:t>y Delgado Wise</w:t>
      </w:r>
      <w:r w:rsidRPr="00457CC2">
        <w:rPr>
          <w:rFonts w:ascii="Times New Roman" w:hAnsi="Times New Roman" w:cs="Times New Roman"/>
        </w:rPr>
        <w:t xml:space="preserve"> (2012),.</w:t>
      </w:r>
    </w:p>
  </w:footnote>
  <w:footnote w:id="3">
    <w:p w:rsidR="00BE3BB5" w:rsidRPr="006C19D8" w:rsidRDefault="00BE3BB5" w:rsidP="00095801">
      <w:pPr>
        <w:pStyle w:val="Textonotapie"/>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w:t>
      </w:r>
      <w:r>
        <w:rPr>
          <w:rFonts w:ascii="Times New Roman" w:hAnsi="Times New Roman" w:cs="Times New Roman"/>
        </w:rPr>
        <w:t>Un pilar más</w:t>
      </w:r>
      <w:r w:rsidRPr="00457CC2">
        <w:rPr>
          <w:rFonts w:ascii="Times New Roman" w:hAnsi="Times New Roman" w:cs="Times New Roman"/>
        </w:rPr>
        <w:t xml:space="preserve">, el del narcotráfico y, en general, </w:t>
      </w:r>
      <w:r>
        <w:rPr>
          <w:rFonts w:ascii="Times New Roman" w:hAnsi="Times New Roman" w:cs="Times New Roman"/>
        </w:rPr>
        <w:t>d</w:t>
      </w:r>
      <w:r w:rsidRPr="00457CC2">
        <w:rPr>
          <w:rFonts w:ascii="Times New Roman" w:hAnsi="Times New Roman" w:cs="Times New Roman"/>
        </w:rPr>
        <w:t>el crimen organizado, queda fuera de este análisis</w:t>
      </w:r>
      <w:r w:rsidRPr="006C19D8">
        <w:rPr>
          <w:rFonts w:ascii="Times New Roman" w:hAnsi="Times New Roman" w:cs="Times New Roman"/>
        </w:rPr>
        <w:t>.</w:t>
      </w:r>
    </w:p>
  </w:footnote>
  <w:footnote w:id="4">
    <w:p w:rsidR="00BE3BB5" w:rsidRPr="00457CC2" w:rsidRDefault="00BE3BB5" w:rsidP="00457CC2">
      <w:pPr>
        <w:pStyle w:val="Textonotapie"/>
        <w:jc w:val="both"/>
        <w:rPr>
          <w:rFonts w:ascii="Times New Roman" w:hAnsi="Times New Roman" w:cs="Times New Roman"/>
        </w:rPr>
      </w:pPr>
      <w:r w:rsidRPr="00C93217">
        <w:rPr>
          <w:rStyle w:val="Refdenotaalpie"/>
          <w:rFonts w:ascii="Times New Roman" w:hAnsi="Times New Roman" w:cs="Times New Roman"/>
        </w:rPr>
        <w:footnoteRef/>
      </w:r>
      <w:r w:rsidRPr="00C93217">
        <w:rPr>
          <w:rFonts w:ascii="Times New Roman" w:hAnsi="Times New Roman" w:cs="Times New Roman"/>
        </w:rPr>
        <w:t xml:space="preserve"> </w:t>
      </w:r>
      <w:r w:rsidRPr="00457CC2">
        <w:rPr>
          <w:rFonts w:ascii="Times New Roman" w:hAnsi="Times New Roman" w:cs="Times New Roman"/>
        </w:rPr>
        <w:t xml:space="preserve">La renuncia a la </w:t>
      </w:r>
      <w:r w:rsidRPr="00457CC2">
        <w:rPr>
          <w:rFonts w:ascii="Times New Roman" w:hAnsi="Times New Roman" w:cs="Times New Roman"/>
          <w:i/>
        </w:rPr>
        <w:t>soberanía alimentaria</w:t>
      </w:r>
      <w:r w:rsidRPr="00457CC2">
        <w:rPr>
          <w:rFonts w:ascii="Times New Roman" w:hAnsi="Times New Roman" w:cs="Times New Roman"/>
        </w:rPr>
        <w:t xml:space="preserve"> y la creciente dependencia de las importaciones de productos agrícolas, procesados y sin procesar, son otro elemento importante que quedará fuera de las consideraciones del presenta artículo.</w:t>
      </w:r>
    </w:p>
  </w:footnote>
  <w:footnote w:id="5">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Ver al respecto los excelentes informes del Observatorio de Salarios de la UIA Puebla: https://es-es.facebook.com/pages/Observatorio-de-Salarios-de-la-Universidad-Iberoamericana-Puebla/287426537978649</w:t>
      </w:r>
    </w:p>
  </w:footnote>
  <w:footnote w:id="6">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En lo que para estos autores constituye la conformación de un </w:t>
      </w:r>
      <w:r w:rsidRPr="00457CC2">
        <w:rPr>
          <w:rFonts w:ascii="Times New Roman" w:hAnsi="Times New Roman" w:cs="Times New Roman"/>
          <w:i/>
        </w:rPr>
        <w:t>sistema ampliado de manufactura estadounidense</w:t>
      </w:r>
      <w:r w:rsidRPr="00457CC2">
        <w:rPr>
          <w:rFonts w:ascii="Times New Roman" w:hAnsi="Times New Roman" w:cs="Times New Roman"/>
        </w:rPr>
        <w:t>, localizado físicamente tanto en los EUA como en México.</w:t>
      </w:r>
    </w:p>
  </w:footnote>
  <w:footnote w:id="7">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Las cuentas del sector externo de la economía de la narcoproducción y el narcotráfico, importantísimas como deben serlo cuantitativamente, escapan a los análisis que quien esto escribe está en posibilidades de realizar.</w:t>
      </w:r>
    </w:p>
  </w:footnote>
  <w:footnote w:id="8">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Con todo el entusiasmo previo a la nueva </w:t>
      </w:r>
      <w:r w:rsidRPr="00457CC2">
        <w:rPr>
          <w:rFonts w:ascii="Times New Roman" w:hAnsi="Times New Roman" w:cs="Times New Roman"/>
          <w:i/>
        </w:rPr>
        <w:t xml:space="preserve">Guerra de precios petroleros, </w:t>
      </w:r>
      <w:r w:rsidRPr="00457CC2">
        <w:rPr>
          <w:rFonts w:ascii="Times New Roman" w:hAnsi="Times New Roman" w:cs="Times New Roman"/>
        </w:rPr>
        <w:t>de manera sintética lo expresó así  , el ex ministro José Ángel Gurría, actual Secretario General de la OCDE, en su alocución en el ITAM, de enero de2014 (Gurría, 2014)</w:t>
      </w:r>
    </w:p>
  </w:footnote>
  <w:footnote w:id="9">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Necesidad en 1994 aderezada, por supuesto, por las condiciones en las que fue otorgado a México el multimillonario préstamo que permitió superar el desplome de diciembre de ese año.</w:t>
      </w:r>
    </w:p>
  </w:footnote>
  <w:footnote w:id="10">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No es el objetivo de este artículo analizar ni el origen geográfico ni el destino sectorial de estas inversiones; información que se encuentra en extenso en el informe de la CEPAL de 2012, citado en la bibliografía.</w:t>
      </w:r>
    </w:p>
  </w:footnote>
  <w:footnote w:id="11">
    <w:p w:rsidR="00BE3BB5" w:rsidRPr="00457CC2" w:rsidRDefault="00BE3BB5" w:rsidP="00457CC2">
      <w:pPr>
        <w:pStyle w:val="Textonotapie"/>
        <w:jc w:val="both"/>
        <w:rPr>
          <w:rFonts w:ascii="Times New Roman" w:hAnsi="Times New Roman" w:cs="Times New Roman"/>
        </w:rPr>
      </w:pPr>
      <w:r w:rsidRPr="00457CC2">
        <w:rPr>
          <w:rStyle w:val="Refdenotaalpie"/>
          <w:rFonts w:ascii="Times New Roman" w:hAnsi="Times New Roman" w:cs="Times New Roman"/>
        </w:rPr>
        <w:footnoteRef/>
      </w:r>
      <w:r w:rsidRPr="00457CC2">
        <w:rPr>
          <w:rFonts w:ascii="Times New Roman" w:hAnsi="Times New Roman" w:cs="Times New Roman"/>
        </w:rPr>
        <w:t xml:space="preserve"> Venta, por cierto, de una banca cuyo rescate multimillonario todavía seguimos pagando los causantes en 2015.</w:t>
      </w:r>
    </w:p>
  </w:footnote>
  <w:footnote w:id="12">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Los principales datos de este apartado provienen, salvo que se indique lo contrario, del Banco de México: </w:t>
      </w:r>
      <w:hyperlink r:id="rId1" w:history="1">
        <w:r w:rsidRPr="007912AE">
          <w:rPr>
            <w:rStyle w:val="Hipervnculo"/>
            <w:rFonts w:ascii="Times New Roman" w:hAnsi="Times New Roman" w:cs="Times New Roman"/>
          </w:rPr>
          <w:t>http://www.banxico.org.mx/SieInternet/consultarDirectorioInternetAction.do?accion=consultarCuadroAnalitico&amp;idCuadro=CA199&amp;sector=1&amp;locale=es</w:t>
        </w:r>
      </w:hyperlink>
      <w:r w:rsidRPr="007912AE">
        <w:rPr>
          <w:rFonts w:ascii="Times New Roman" w:hAnsi="Times New Roman" w:cs="Times New Roman"/>
        </w:rPr>
        <w:t xml:space="preserve"> (última consulta: 14/11/2014).</w:t>
      </w:r>
    </w:p>
    <w:p w:rsidR="00BE3BB5" w:rsidRDefault="00BE3BB5" w:rsidP="001C3738">
      <w:pPr>
        <w:pStyle w:val="Textonotapie"/>
      </w:pPr>
    </w:p>
  </w:footnote>
  <w:footnote w:id="13">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No se realizará aquí un análisis de este fenómeno. Los interesados pueden acudir a una extensa literatura,  entre la que cabe recomendar los trabajos de Edgardo Buscaglia y de Ana Lilia Pérez.</w:t>
      </w:r>
    </w:p>
  </w:footnote>
  <w:footnote w:id="14">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A raíz del anuncio de que PEMEX había sido compelida a entregar al gobierno federal más de </w:t>
      </w:r>
      <w:r>
        <w:rPr>
          <w:rFonts w:ascii="Times New Roman" w:hAnsi="Times New Roman" w:cs="Times New Roman"/>
        </w:rPr>
        <w:t>50 mil millones de pesos (Reyes Heroles G.G., 2015)</w:t>
      </w:r>
    </w:p>
  </w:footnote>
  <w:footnote w:id="15">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Entrevista al aire con Carmen Aristegui, </w:t>
      </w:r>
      <w:r w:rsidRPr="007912AE">
        <w:rPr>
          <w:rFonts w:ascii="Times New Roman" w:hAnsi="Times New Roman" w:cs="Times New Roman"/>
          <w:b/>
        </w:rPr>
        <w:t>Noticias</w:t>
      </w:r>
      <w:r w:rsidRPr="00DF1A3D">
        <w:rPr>
          <w:rFonts w:ascii="Times New Roman" w:hAnsi="Times New Roman" w:cs="Times New Roman"/>
          <w:b/>
        </w:rPr>
        <w:t xml:space="preserve"> </w:t>
      </w:r>
      <w:r w:rsidRPr="007912AE">
        <w:rPr>
          <w:rFonts w:ascii="Times New Roman" w:hAnsi="Times New Roman" w:cs="Times New Roman"/>
          <w:b/>
        </w:rPr>
        <w:t>MBS, primera edición</w:t>
      </w:r>
      <w:r w:rsidRPr="007912AE">
        <w:rPr>
          <w:rFonts w:ascii="Times New Roman" w:hAnsi="Times New Roman" w:cs="Times New Roman"/>
        </w:rPr>
        <w:t>, 16 de febrero de 2015.</w:t>
      </w:r>
    </w:p>
  </w:footnote>
  <w:footnote w:id="16">
    <w:p w:rsidR="00BE3BB5" w:rsidRDefault="00BE3BB5" w:rsidP="007912AE">
      <w:pPr>
        <w:pStyle w:val="Textonotapie"/>
        <w:jc w:val="both"/>
      </w:pPr>
      <w:r w:rsidRPr="007912AE">
        <w:rPr>
          <w:rStyle w:val="Refdenotaalpie"/>
          <w:rFonts w:ascii="Times New Roman" w:hAnsi="Times New Roman" w:cs="Times New Roman"/>
        </w:rPr>
        <w:footnoteRef/>
      </w:r>
      <w:r w:rsidRPr="007912AE">
        <w:rPr>
          <w:rFonts w:ascii="Times New Roman" w:hAnsi="Times New Roman" w:cs="Times New Roman"/>
        </w:rPr>
        <w:t xml:space="preserve"> No es el objetivo de este texto ofrecer un análisis a fondo del funcionamiento interno de la empresa ni de su rol central en las finanzas públicas ni de sus relaciones opacas con el sindicato. Para esos temas, se remite al lector a la muy abundante literatura que existe al respecto. En especial, se recomienda, para una visión</w:t>
      </w:r>
      <w:r>
        <w:rPr>
          <w:rFonts w:ascii="Times New Roman" w:hAnsi="Times New Roman" w:cs="Times New Roman"/>
        </w:rPr>
        <w:t xml:space="preserve"> con perspectiva histórica, a </w:t>
      </w:r>
      <w:r w:rsidRPr="007912AE">
        <w:rPr>
          <w:rFonts w:ascii="Times New Roman" w:hAnsi="Times New Roman" w:cs="Times New Roman"/>
        </w:rPr>
        <w:t xml:space="preserve">Meyer, 2012. Para un seguimiento detenido, informado y crítico del proceso reciente, a las columnas semanales de José Antonio Rojas Nieto y de Antonio Gershenson en el periódico </w:t>
      </w:r>
      <w:r w:rsidRPr="007912AE">
        <w:rPr>
          <w:rFonts w:ascii="Times New Roman" w:hAnsi="Times New Roman" w:cs="Times New Roman"/>
          <w:b/>
        </w:rPr>
        <w:t>La Jornada</w:t>
      </w:r>
      <w:r w:rsidRPr="007912AE">
        <w:rPr>
          <w:rFonts w:ascii="Times New Roman" w:hAnsi="Times New Roman" w:cs="Times New Roman"/>
        </w:rPr>
        <w:t>.</w:t>
      </w:r>
      <w:r>
        <w:t xml:space="preserve">  </w:t>
      </w:r>
    </w:p>
  </w:footnote>
  <w:footnote w:id="17">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Los detalles y consecuencias de esta nueva legislación, que legalizó a 2.3 millones de mexicanos y sus familias, pueden consultarse en esa misma obra. Ver también Massey, Durand y Malone, 2009, en donde se hace un análisis más detenido de las consecuencias de la IRCA.</w:t>
      </w:r>
    </w:p>
  </w:footnote>
  <w:footnote w:id="18">
    <w:p w:rsidR="00BE3BB5" w:rsidRDefault="00BE3BB5">
      <w:pPr>
        <w:pStyle w:val="Textonotapie"/>
      </w:pPr>
      <w:r>
        <w:rPr>
          <w:rStyle w:val="Refdenotaalpie"/>
        </w:rPr>
        <w:footnoteRef/>
      </w:r>
      <w:r>
        <w:t xml:space="preserve"> Los datos de este apartado sobre la migración mexicana a los Estados Unidos y de sus remesas, resumidos en la Gráfica # 4, han sido tomados de:  </w:t>
      </w:r>
      <w:r w:rsidRPr="00B80FF5">
        <w:t>Fundación BBVA/CONAPO, 2015</w:t>
      </w:r>
      <w:r>
        <w:t>, salvo que se indique lo contrario.</w:t>
      </w:r>
    </w:p>
  </w:footnote>
  <w:footnote w:id="19">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Para una explicación de las causas tanto históricas como estructurales y coyunturales de este explosivo crecimiento, ver: Canales, 20</w:t>
      </w:r>
      <w:r>
        <w:rPr>
          <w:rFonts w:ascii="Times New Roman" w:hAnsi="Times New Roman" w:cs="Times New Roman"/>
        </w:rPr>
        <w:t>14</w:t>
      </w:r>
      <w:r w:rsidRPr="007912AE">
        <w:rPr>
          <w:rFonts w:ascii="Times New Roman" w:hAnsi="Times New Roman" w:cs="Times New Roman"/>
        </w:rPr>
        <w:t>; Delgado y Cypher, 2012; Herrera,  2007 y 2009.</w:t>
      </w:r>
    </w:p>
  </w:footnote>
  <w:footnote w:id="20">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Ver también:  Anguiano, 2006; Benencia, Herrera y Levine, 2012; y Rubio-Goldsmith, et al, 2006.</w:t>
      </w:r>
    </w:p>
  </w:footnote>
  <w:footnote w:id="21">
    <w:p w:rsidR="00BE3BB5" w:rsidRDefault="00BE3BB5" w:rsidP="007912AE">
      <w:pPr>
        <w:pStyle w:val="Textonotapie"/>
        <w:jc w:val="both"/>
      </w:pPr>
      <w:r w:rsidRPr="007912AE">
        <w:rPr>
          <w:rStyle w:val="Refdenotaalpie"/>
          <w:rFonts w:ascii="Times New Roman" w:hAnsi="Times New Roman" w:cs="Times New Roman"/>
        </w:rPr>
        <w:footnoteRef/>
      </w:r>
      <w:r w:rsidRPr="007912AE">
        <w:rPr>
          <w:rFonts w:ascii="Times New Roman" w:hAnsi="Times New Roman" w:cs="Times New Roman"/>
        </w:rPr>
        <w:t xml:space="preserve"> Sobre todo en los estados del sur tradicional, como Alabama, Georgia, las carolinas, </w:t>
      </w:r>
      <w:r>
        <w:rPr>
          <w:rFonts w:ascii="Times New Roman" w:hAnsi="Times New Roman" w:cs="Times New Roman"/>
        </w:rPr>
        <w:t>Arizona (Levine y Le Baron, 2011 y 2013</w:t>
      </w:r>
      <w:r w:rsidRPr="007912AE">
        <w:rPr>
          <w:rFonts w:ascii="Times New Roman" w:hAnsi="Times New Roman" w:cs="Times New Roman"/>
        </w:rPr>
        <w:t>).</w:t>
      </w:r>
    </w:p>
  </w:footnote>
  <w:footnote w:id="22">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La expresión </w:t>
      </w:r>
      <w:r w:rsidRPr="007912AE">
        <w:rPr>
          <w:rFonts w:ascii="Times New Roman" w:hAnsi="Times New Roman" w:cs="Times New Roman"/>
          <w:i/>
        </w:rPr>
        <w:t>Migración no autorizada</w:t>
      </w:r>
      <w:r w:rsidRPr="007912AE">
        <w:rPr>
          <w:rFonts w:ascii="Times New Roman" w:hAnsi="Times New Roman" w:cs="Times New Roman"/>
        </w:rPr>
        <w:t xml:space="preserve"> es la que utiliza el Pew Hispanic Center y es la que se adopta en este trabajo, por no tener ni la connotación criminalizante de la expresión </w:t>
      </w:r>
      <w:r w:rsidRPr="007912AE">
        <w:rPr>
          <w:rFonts w:ascii="Times New Roman" w:hAnsi="Times New Roman" w:cs="Times New Roman"/>
          <w:i/>
        </w:rPr>
        <w:t>migración ilegal</w:t>
      </w:r>
      <w:r w:rsidRPr="007912AE">
        <w:rPr>
          <w:rFonts w:ascii="Times New Roman" w:hAnsi="Times New Roman" w:cs="Times New Roman"/>
        </w:rPr>
        <w:t xml:space="preserve"> ni la ambigüedad de la alterna </w:t>
      </w:r>
      <w:r w:rsidRPr="007912AE">
        <w:rPr>
          <w:rFonts w:ascii="Times New Roman" w:hAnsi="Times New Roman" w:cs="Times New Roman"/>
          <w:i/>
        </w:rPr>
        <w:t>migración indocumentada.</w:t>
      </w:r>
    </w:p>
  </w:footnote>
  <w:footnote w:id="23">
    <w:p w:rsidR="00BE3BB5" w:rsidRPr="007074D7" w:rsidRDefault="00BE3BB5" w:rsidP="007074D7">
      <w:pPr>
        <w:spacing w:after="0" w:line="240" w:lineRule="auto"/>
        <w:rPr>
          <w:rFonts w:ascii="Times New Roman" w:hAnsi="Times New Roman" w:cs="Times New Roman"/>
          <w:sz w:val="20"/>
          <w:szCs w:val="20"/>
        </w:rPr>
      </w:pPr>
      <w:r>
        <w:rPr>
          <w:rStyle w:val="Refdenotaalpie"/>
        </w:rPr>
        <w:footnoteRef/>
      </w:r>
      <w:r>
        <w:t xml:space="preserve"> </w:t>
      </w:r>
      <w:r w:rsidRPr="007074D7">
        <w:rPr>
          <w:rFonts w:ascii="Times New Roman" w:hAnsi="Times New Roman" w:cs="Times New Roman"/>
          <w:sz w:val="20"/>
          <w:szCs w:val="20"/>
        </w:rPr>
        <w:t>El a</w:t>
      </w:r>
      <w:r>
        <w:rPr>
          <w:rFonts w:ascii="Times New Roman" w:hAnsi="Times New Roman" w:cs="Times New Roman"/>
          <w:sz w:val="20"/>
          <w:szCs w:val="20"/>
        </w:rPr>
        <w:t>ño 2014, finalmente, se presentó</w:t>
      </w:r>
      <w:r w:rsidRPr="007074D7">
        <w:rPr>
          <w:rFonts w:ascii="Times New Roman" w:hAnsi="Times New Roman" w:cs="Times New Roman"/>
          <w:sz w:val="20"/>
          <w:szCs w:val="20"/>
        </w:rPr>
        <w:t xml:space="preserve"> como uno de recuperación, con una cantidad de 23.5 mmd. </w:t>
      </w:r>
    </w:p>
    <w:p w:rsidR="00BE3BB5" w:rsidRDefault="00BE3BB5">
      <w:pPr>
        <w:pStyle w:val="Textonotapie"/>
      </w:pPr>
    </w:p>
  </w:footnote>
  <w:footnote w:id="24">
    <w:p w:rsidR="00BE3BB5" w:rsidRPr="007912AE" w:rsidRDefault="00BE3BB5" w:rsidP="007912AE">
      <w:pPr>
        <w:pStyle w:val="Textonotapie"/>
        <w:jc w:val="both"/>
        <w:rPr>
          <w:rFonts w:ascii="Times New Roman" w:hAnsi="Times New Roman" w:cs="Times New Roman"/>
        </w:rPr>
      </w:pPr>
      <w:r w:rsidRPr="007912AE">
        <w:rPr>
          <w:rStyle w:val="Refdenotaalpie"/>
          <w:rFonts w:ascii="Times New Roman" w:hAnsi="Times New Roman" w:cs="Times New Roman"/>
        </w:rPr>
        <w:footnoteRef/>
      </w:r>
      <w:r w:rsidRPr="007912AE">
        <w:rPr>
          <w:rFonts w:ascii="Times New Roman" w:hAnsi="Times New Roman" w:cs="Times New Roman"/>
        </w:rPr>
        <w:t xml:space="preserve"> Los dos siguientes años, que escapan a los límites de este artículo, serán nuevamente de crecimiento.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608A"/>
    <w:rsid w:val="00014561"/>
    <w:rsid w:val="000156AF"/>
    <w:rsid w:val="00043B1D"/>
    <w:rsid w:val="00060BB4"/>
    <w:rsid w:val="00062657"/>
    <w:rsid w:val="00063069"/>
    <w:rsid w:val="00064B9F"/>
    <w:rsid w:val="000733B5"/>
    <w:rsid w:val="00076B84"/>
    <w:rsid w:val="00077909"/>
    <w:rsid w:val="00094FF1"/>
    <w:rsid w:val="00095801"/>
    <w:rsid w:val="00097177"/>
    <w:rsid w:val="000B3F87"/>
    <w:rsid w:val="000B5064"/>
    <w:rsid w:val="000C6E69"/>
    <w:rsid w:val="000F1BDC"/>
    <w:rsid w:val="000F2DDA"/>
    <w:rsid w:val="000F7692"/>
    <w:rsid w:val="001044C7"/>
    <w:rsid w:val="00105389"/>
    <w:rsid w:val="001167FD"/>
    <w:rsid w:val="00121D0C"/>
    <w:rsid w:val="0014649B"/>
    <w:rsid w:val="00166C09"/>
    <w:rsid w:val="001710CA"/>
    <w:rsid w:val="001A6584"/>
    <w:rsid w:val="001A7E6D"/>
    <w:rsid w:val="001C3738"/>
    <w:rsid w:val="001C45F0"/>
    <w:rsid w:val="00214DF8"/>
    <w:rsid w:val="00220903"/>
    <w:rsid w:val="00243EF2"/>
    <w:rsid w:val="00253D1E"/>
    <w:rsid w:val="0026493B"/>
    <w:rsid w:val="002761F5"/>
    <w:rsid w:val="00291F0E"/>
    <w:rsid w:val="002B39CA"/>
    <w:rsid w:val="002B5A80"/>
    <w:rsid w:val="002E5CBA"/>
    <w:rsid w:val="002F0011"/>
    <w:rsid w:val="003054F3"/>
    <w:rsid w:val="00311059"/>
    <w:rsid w:val="00322952"/>
    <w:rsid w:val="003321A4"/>
    <w:rsid w:val="00375D91"/>
    <w:rsid w:val="00376467"/>
    <w:rsid w:val="00384B31"/>
    <w:rsid w:val="00385BA3"/>
    <w:rsid w:val="003923FB"/>
    <w:rsid w:val="003944BA"/>
    <w:rsid w:val="00394870"/>
    <w:rsid w:val="003A64EB"/>
    <w:rsid w:val="003B3EE8"/>
    <w:rsid w:val="003B62E3"/>
    <w:rsid w:val="003C655D"/>
    <w:rsid w:val="003D1092"/>
    <w:rsid w:val="003D1728"/>
    <w:rsid w:val="003D7DD9"/>
    <w:rsid w:val="003F099D"/>
    <w:rsid w:val="003F24EF"/>
    <w:rsid w:val="003F6772"/>
    <w:rsid w:val="00417425"/>
    <w:rsid w:val="00436E43"/>
    <w:rsid w:val="004508EE"/>
    <w:rsid w:val="00457CC2"/>
    <w:rsid w:val="00462FAB"/>
    <w:rsid w:val="00474500"/>
    <w:rsid w:val="00496498"/>
    <w:rsid w:val="004A6FBB"/>
    <w:rsid w:val="004B5EFB"/>
    <w:rsid w:val="004C4A5E"/>
    <w:rsid w:val="004D1056"/>
    <w:rsid w:val="004E4F09"/>
    <w:rsid w:val="004F1467"/>
    <w:rsid w:val="004F1E54"/>
    <w:rsid w:val="004F6BB6"/>
    <w:rsid w:val="005049CD"/>
    <w:rsid w:val="00527147"/>
    <w:rsid w:val="0052714F"/>
    <w:rsid w:val="00533806"/>
    <w:rsid w:val="00547418"/>
    <w:rsid w:val="00547DD4"/>
    <w:rsid w:val="0056392B"/>
    <w:rsid w:val="005661E6"/>
    <w:rsid w:val="00572042"/>
    <w:rsid w:val="005823B0"/>
    <w:rsid w:val="00583B7D"/>
    <w:rsid w:val="00591680"/>
    <w:rsid w:val="0059717E"/>
    <w:rsid w:val="005A2E0C"/>
    <w:rsid w:val="005A6C91"/>
    <w:rsid w:val="005C1C43"/>
    <w:rsid w:val="005F29BF"/>
    <w:rsid w:val="005F3DD9"/>
    <w:rsid w:val="00602531"/>
    <w:rsid w:val="006157C5"/>
    <w:rsid w:val="00615DA5"/>
    <w:rsid w:val="00622B93"/>
    <w:rsid w:val="0064212F"/>
    <w:rsid w:val="00642948"/>
    <w:rsid w:val="00653E49"/>
    <w:rsid w:val="00674E83"/>
    <w:rsid w:val="00690151"/>
    <w:rsid w:val="00692D83"/>
    <w:rsid w:val="006A6B31"/>
    <w:rsid w:val="006C7507"/>
    <w:rsid w:val="006C7E3C"/>
    <w:rsid w:val="006F2DC5"/>
    <w:rsid w:val="006F50E4"/>
    <w:rsid w:val="00702CE5"/>
    <w:rsid w:val="007074D7"/>
    <w:rsid w:val="00727FC1"/>
    <w:rsid w:val="007301E9"/>
    <w:rsid w:val="00741F0B"/>
    <w:rsid w:val="007856F8"/>
    <w:rsid w:val="007912AE"/>
    <w:rsid w:val="007968DF"/>
    <w:rsid w:val="007A3727"/>
    <w:rsid w:val="007B696F"/>
    <w:rsid w:val="007B73D0"/>
    <w:rsid w:val="007D4044"/>
    <w:rsid w:val="008025C8"/>
    <w:rsid w:val="00802D60"/>
    <w:rsid w:val="00811C3B"/>
    <w:rsid w:val="00813C7B"/>
    <w:rsid w:val="008158CD"/>
    <w:rsid w:val="008212B7"/>
    <w:rsid w:val="00821371"/>
    <w:rsid w:val="008349B3"/>
    <w:rsid w:val="00847157"/>
    <w:rsid w:val="00855C05"/>
    <w:rsid w:val="008A39A8"/>
    <w:rsid w:val="008C59ED"/>
    <w:rsid w:val="008E0199"/>
    <w:rsid w:val="008E4825"/>
    <w:rsid w:val="008E5DC5"/>
    <w:rsid w:val="008F4C9D"/>
    <w:rsid w:val="008F63CD"/>
    <w:rsid w:val="00916FD9"/>
    <w:rsid w:val="00934A10"/>
    <w:rsid w:val="009371E6"/>
    <w:rsid w:val="00937D43"/>
    <w:rsid w:val="00941B19"/>
    <w:rsid w:val="009548D7"/>
    <w:rsid w:val="009571EB"/>
    <w:rsid w:val="009700EF"/>
    <w:rsid w:val="00985EC2"/>
    <w:rsid w:val="0098615B"/>
    <w:rsid w:val="00990DE7"/>
    <w:rsid w:val="009A6D50"/>
    <w:rsid w:val="009B3C08"/>
    <w:rsid w:val="009F2821"/>
    <w:rsid w:val="009F34C3"/>
    <w:rsid w:val="00A14659"/>
    <w:rsid w:val="00A159A5"/>
    <w:rsid w:val="00A1691C"/>
    <w:rsid w:val="00A25F6C"/>
    <w:rsid w:val="00A36EE5"/>
    <w:rsid w:val="00A82548"/>
    <w:rsid w:val="00A838AC"/>
    <w:rsid w:val="00A843AC"/>
    <w:rsid w:val="00AB6346"/>
    <w:rsid w:val="00AC5282"/>
    <w:rsid w:val="00B042FA"/>
    <w:rsid w:val="00B07409"/>
    <w:rsid w:val="00B11D00"/>
    <w:rsid w:val="00B25895"/>
    <w:rsid w:val="00B270FA"/>
    <w:rsid w:val="00B31F25"/>
    <w:rsid w:val="00B42FD0"/>
    <w:rsid w:val="00B444E2"/>
    <w:rsid w:val="00B53343"/>
    <w:rsid w:val="00B57AE3"/>
    <w:rsid w:val="00B80FF5"/>
    <w:rsid w:val="00B82E79"/>
    <w:rsid w:val="00B9527A"/>
    <w:rsid w:val="00BA1BEA"/>
    <w:rsid w:val="00BB0C3C"/>
    <w:rsid w:val="00BB183D"/>
    <w:rsid w:val="00BC733E"/>
    <w:rsid w:val="00BD070F"/>
    <w:rsid w:val="00BE0838"/>
    <w:rsid w:val="00BE124F"/>
    <w:rsid w:val="00BE3BB5"/>
    <w:rsid w:val="00BF1470"/>
    <w:rsid w:val="00BF4024"/>
    <w:rsid w:val="00C01E4F"/>
    <w:rsid w:val="00C131F2"/>
    <w:rsid w:val="00C14E04"/>
    <w:rsid w:val="00C27971"/>
    <w:rsid w:val="00C400BE"/>
    <w:rsid w:val="00C438C6"/>
    <w:rsid w:val="00C43CC9"/>
    <w:rsid w:val="00C458F2"/>
    <w:rsid w:val="00C504CE"/>
    <w:rsid w:val="00C51DB7"/>
    <w:rsid w:val="00C608EC"/>
    <w:rsid w:val="00C60FE5"/>
    <w:rsid w:val="00C62AEB"/>
    <w:rsid w:val="00C8070A"/>
    <w:rsid w:val="00C934E6"/>
    <w:rsid w:val="00CA1C7C"/>
    <w:rsid w:val="00CA4FB2"/>
    <w:rsid w:val="00CB43C1"/>
    <w:rsid w:val="00CD1334"/>
    <w:rsid w:val="00CD4EAA"/>
    <w:rsid w:val="00CE7231"/>
    <w:rsid w:val="00D10D7F"/>
    <w:rsid w:val="00D14070"/>
    <w:rsid w:val="00D41733"/>
    <w:rsid w:val="00D66B41"/>
    <w:rsid w:val="00D73133"/>
    <w:rsid w:val="00D75643"/>
    <w:rsid w:val="00D950D5"/>
    <w:rsid w:val="00DD0631"/>
    <w:rsid w:val="00DE0E79"/>
    <w:rsid w:val="00DE6C00"/>
    <w:rsid w:val="00DE736F"/>
    <w:rsid w:val="00DF100D"/>
    <w:rsid w:val="00DF1A3D"/>
    <w:rsid w:val="00DF4C4D"/>
    <w:rsid w:val="00E217C4"/>
    <w:rsid w:val="00E2308F"/>
    <w:rsid w:val="00E31F44"/>
    <w:rsid w:val="00E36C8A"/>
    <w:rsid w:val="00E55C48"/>
    <w:rsid w:val="00E5756A"/>
    <w:rsid w:val="00E758E6"/>
    <w:rsid w:val="00E7776C"/>
    <w:rsid w:val="00E8092F"/>
    <w:rsid w:val="00E83596"/>
    <w:rsid w:val="00E90B89"/>
    <w:rsid w:val="00E9156E"/>
    <w:rsid w:val="00E9608A"/>
    <w:rsid w:val="00EC0656"/>
    <w:rsid w:val="00F02DEB"/>
    <w:rsid w:val="00F12754"/>
    <w:rsid w:val="00F36C36"/>
    <w:rsid w:val="00F62FB9"/>
    <w:rsid w:val="00F717BB"/>
    <w:rsid w:val="00F740BE"/>
    <w:rsid w:val="00F7771F"/>
    <w:rsid w:val="00FA11F5"/>
    <w:rsid w:val="00FC14EA"/>
    <w:rsid w:val="00FD19CD"/>
    <w:rsid w:val="00FF0546"/>
    <w:rsid w:val="00FF7E9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9608A"/>
    <w:pPr>
      <w:spacing w:after="0" w:line="240" w:lineRule="auto"/>
    </w:pPr>
    <w:rPr>
      <w:sz w:val="20"/>
      <w:szCs w:val="20"/>
    </w:rPr>
  </w:style>
  <w:style w:type="character" w:customStyle="1" w:styleId="TextonotapieCar">
    <w:name w:val="Texto nota pie Car"/>
    <w:basedOn w:val="Fuentedeprrafopredeter"/>
    <w:link w:val="Textonotapie"/>
    <w:uiPriority w:val="99"/>
    <w:rsid w:val="00E9608A"/>
    <w:rPr>
      <w:sz w:val="20"/>
      <w:szCs w:val="20"/>
    </w:rPr>
  </w:style>
  <w:style w:type="character" w:styleId="Refdenotaalpie">
    <w:name w:val="footnote reference"/>
    <w:basedOn w:val="Fuentedeprrafopredeter"/>
    <w:uiPriority w:val="99"/>
    <w:semiHidden/>
    <w:unhideWhenUsed/>
    <w:rsid w:val="00E9608A"/>
    <w:rPr>
      <w:vertAlign w:val="superscript"/>
    </w:rPr>
  </w:style>
  <w:style w:type="table" w:styleId="Tablaconcuadrcula">
    <w:name w:val="Table Grid"/>
    <w:basedOn w:val="Tablanormal"/>
    <w:uiPriority w:val="59"/>
    <w:rsid w:val="00BC73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C3738"/>
    <w:rPr>
      <w:color w:val="0000FF" w:themeColor="hyperlink"/>
      <w:u w:val="single"/>
    </w:rPr>
  </w:style>
  <w:style w:type="paragraph" w:styleId="Encabezado">
    <w:name w:val="header"/>
    <w:basedOn w:val="Normal"/>
    <w:link w:val="EncabezadoCar"/>
    <w:uiPriority w:val="99"/>
    <w:semiHidden/>
    <w:unhideWhenUsed/>
    <w:rsid w:val="003229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22952"/>
  </w:style>
  <w:style w:type="paragraph" w:styleId="Piedepgina">
    <w:name w:val="footer"/>
    <w:basedOn w:val="Normal"/>
    <w:link w:val="PiedepginaCar"/>
    <w:uiPriority w:val="99"/>
    <w:unhideWhenUsed/>
    <w:rsid w:val="003229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2952"/>
  </w:style>
  <w:style w:type="paragraph" w:styleId="Prrafodelista">
    <w:name w:val="List Paragraph"/>
    <w:basedOn w:val="Normal"/>
    <w:uiPriority w:val="34"/>
    <w:qFormat/>
    <w:rsid w:val="00916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hyperlink" Target="http://www.banxico.org.mx/SieInternet/consultarDirectorioInternetAction.do?accion=consultarCuadroAnalitico&amp;idCuadro=CA199&amp;sector=1&amp;locale=es" TargetMode="External"/><Relationship Id="rId2" Type="http://schemas.openxmlformats.org/officeDocument/2006/relationships/styles" Target="styles.xml"/><Relationship Id="rId16" Type="http://schemas.openxmlformats.org/officeDocument/2006/relationships/hyperlink" Target="http://www.banxico.org.mx/SieInternet/consultarDirectorioInternetAction.do?accion=consultarCuadro&amp;idCuadro=CE121&amp;sector=1&amp;locale=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nxico.org.mx/SieInternet/consultarDirectorioInternetAction.do?accion=consultarCuadro&amp;idCuadro=CE121&amp;sector=1&amp;locale=es" TargetMode="External"/><Relationship Id="rId5" Type="http://schemas.openxmlformats.org/officeDocument/2006/relationships/footnotes" Target="footnotes.xml"/><Relationship Id="rId15" Type="http://schemas.openxmlformats.org/officeDocument/2006/relationships/hyperlink" Target="http://www.ailf.org/ipc/policybrief/policybrief_020607.pdf"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nxico.org.mx/SieInternet/consultarDirectorioInternetAction.do?accion=consultarCuadroAnalitico&amp;idCuadro=CA199&amp;sector=1&amp;locale=es" TargetMode="External"/><Relationship Id="rId14" Type="http://schemas.openxmlformats.org/officeDocument/2006/relationships/hyperlink" Target="http://www.pewhispani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nxico.org.mx/SieInternet/consultarDirectorioInternetAction.do?accion=consultarCuadroAnalitico&amp;idCuadro=CA199&amp;sector=1&amp;locale=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ernandoFrancisco\Documents\archivos%20de%20trabajo_abril2014\publicaciones\art&#237;culos\en%20elaboraci&#243;n\migr%20y%20tlc_balanzas\gr&#225;ficas_26%2005%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ernandoFrancisco\Documents\archivos%20de%20trabajo_abril2014\publicaciones\art&#237;culos\en%20elaboraci&#243;n\migr%20y%20tlc_balanzas\gr&#225;ficas_26%2005%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ernandoFrancisco\Documents\archivos%20de%20trabajo_abril2014\publicaciones\art&#237;culos\en%20elaboraci&#243;n\migr%20y%20tlc_balanzas\gr&#225;ficas_26%2005%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ernandoFrancisco\Documents\Copia%20de%20Copia%20de%20gr&#225;ficas_29%2005%201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ernandoFrancisco\AppData\Local\Microsoft\Windows\INetCache\IE\F11MW4WT\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view3D>
      <c:perspective val="30"/>
    </c:view3D>
    <c:plotArea>
      <c:layout/>
      <c:bar3DChart>
        <c:barDir val="col"/>
        <c:grouping val="stacked"/>
        <c:ser>
          <c:idx val="1"/>
          <c:order val="0"/>
          <c:tx>
            <c:strRef>
              <c:f>'cuadro 2'!$C$3</c:f>
              <c:strCache>
                <c:ptCount val="1"/>
                <c:pt idx="0">
                  <c:v>IED</c:v>
                </c:pt>
              </c:strCache>
            </c:strRef>
          </c:tx>
          <c:dLbls>
            <c:showVal val="1"/>
          </c:dLbls>
          <c:cat>
            <c:numRef>
              <c:f>'cuadro 2'!$A$4:$A$16</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2'!$C$4:$C$16</c:f>
              <c:numCache>
                <c:formatCode>0.0</c:formatCode>
                <c:ptCount val="13"/>
                <c:pt idx="0">
                  <c:v>29.961999999999989</c:v>
                </c:pt>
                <c:pt idx="1">
                  <c:v>23.901</c:v>
                </c:pt>
                <c:pt idx="2">
                  <c:v>18.672000000000001</c:v>
                </c:pt>
                <c:pt idx="3">
                  <c:v>24.855</c:v>
                </c:pt>
                <c:pt idx="4">
                  <c:v>24.449000000000002</c:v>
                </c:pt>
                <c:pt idx="5">
                  <c:v>20.292000000000002</c:v>
                </c:pt>
                <c:pt idx="6">
                  <c:v>31.38</c:v>
                </c:pt>
                <c:pt idx="7">
                  <c:v>27.853000000000005</c:v>
                </c:pt>
                <c:pt idx="8">
                  <c:v>16.561</c:v>
                </c:pt>
                <c:pt idx="9">
                  <c:v>21.372</c:v>
                </c:pt>
                <c:pt idx="10">
                  <c:v>21.504000000000001</c:v>
                </c:pt>
                <c:pt idx="11">
                  <c:v>13.431000000000001</c:v>
                </c:pt>
                <c:pt idx="12">
                  <c:v>35.188000000000002</c:v>
                </c:pt>
              </c:numCache>
            </c:numRef>
          </c:val>
        </c:ser>
        <c:ser>
          <c:idx val="2"/>
          <c:order val="1"/>
          <c:tx>
            <c:strRef>
              <c:f>'cuadro 2'!$D$3</c:f>
              <c:strCache>
                <c:ptCount val="1"/>
                <c:pt idx="0">
                  <c:v>IME</c:v>
                </c:pt>
              </c:strCache>
            </c:strRef>
          </c:tx>
          <c:dLbls>
            <c:showVal val="1"/>
          </c:dLbls>
          <c:cat>
            <c:numRef>
              <c:f>'cuadro 2'!$A$4:$A$16</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2'!$D$4:$D$16</c:f>
              <c:numCache>
                <c:formatCode>0.0</c:formatCode>
                <c:ptCount val="13"/>
                <c:pt idx="0">
                  <c:v>4.4039999999999999</c:v>
                </c:pt>
                <c:pt idx="1">
                  <c:v>0.89100000000000013</c:v>
                </c:pt>
                <c:pt idx="2">
                  <c:v>1.2529999999999983</c:v>
                </c:pt>
                <c:pt idx="3">
                  <c:v>4.4320000000000004</c:v>
                </c:pt>
                <c:pt idx="4">
                  <c:v>6.4740000000000002</c:v>
                </c:pt>
                <c:pt idx="5">
                  <c:v>5.758</c:v>
                </c:pt>
                <c:pt idx="6">
                  <c:v>8.2560000000000002</c:v>
                </c:pt>
                <c:pt idx="7">
                  <c:v>1.157</c:v>
                </c:pt>
                <c:pt idx="8">
                  <c:v>7.6639999999999935</c:v>
                </c:pt>
                <c:pt idx="9">
                  <c:v>15.045</c:v>
                </c:pt>
                <c:pt idx="10">
                  <c:v>12.138999999999999</c:v>
                </c:pt>
                <c:pt idx="11">
                  <c:v>25.597000000000001</c:v>
                </c:pt>
                <c:pt idx="12">
                  <c:v>9.9670000000000005</c:v>
                </c:pt>
              </c:numCache>
            </c:numRef>
          </c:val>
        </c:ser>
        <c:ser>
          <c:idx val="3"/>
          <c:order val="2"/>
          <c:tx>
            <c:strRef>
              <c:f>'cuadro 2'!$B$3</c:f>
              <c:strCache>
                <c:ptCount val="1"/>
                <c:pt idx="0">
                  <c:v>Saldo</c:v>
                </c:pt>
              </c:strCache>
            </c:strRef>
          </c:tx>
          <c:dLbls>
            <c:showVal val="1"/>
          </c:dLbls>
          <c:cat>
            <c:numRef>
              <c:f>'cuadro 2'!$A$4:$A$16</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2'!$B$4:$B$16</c:f>
              <c:numCache>
                <c:formatCode>0.0</c:formatCode>
                <c:ptCount val="13"/>
                <c:pt idx="0">
                  <c:v>25.558</c:v>
                </c:pt>
                <c:pt idx="1">
                  <c:v>23.01</c:v>
                </c:pt>
                <c:pt idx="2">
                  <c:v>17.419</c:v>
                </c:pt>
                <c:pt idx="3">
                  <c:v>20.422999999999966</c:v>
                </c:pt>
                <c:pt idx="4">
                  <c:v>17.974999999999987</c:v>
                </c:pt>
                <c:pt idx="5">
                  <c:v>14.534000000000001</c:v>
                </c:pt>
                <c:pt idx="6">
                  <c:v>23.123999999999999</c:v>
                </c:pt>
                <c:pt idx="7">
                  <c:v>26.696000000000005</c:v>
                </c:pt>
                <c:pt idx="8">
                  <c:v>8.8970000000000002</c:v>
                </c:pt>
                <c:pt idx="9">
                  <c:v>6.3269999999999955</c:v>
                </c:pt>
                <c:pt idx="10">
                  <c:v>9.3650000000000144</c:v>
                </c:pt>
                <c:pt idx="11">
                  <c:v>-12.166</c:v>
                </c:pt>
                <c:pt idx="12">
                  <c:v>25.221</c:v>
                </c:pt>
              </c:numCache>
            </c:numRef>
          </c:val>
        </c:ser>
        <c:shape val="cylinder"/>
        <c:axId val="106423040"/>
        <c:axId val="106425344"/>
        <c:axId val="0"/>
      </c:bar3DChart>
      <c:catAx>
        <c:axId val="106423040"/>
        <c:scaling>
          <c:orientation val="minMax"/>
        </c:scaling>
        <c:axPos val="b"/>
        <c:numFmt formatCode="General" sourceLinked="1"/>
        <c:tickLblPos val="nextTo"/>
        <c:txPr>
          <a:bodyPr rot="-3120000"/>
          <a:lstStyle/>
          <a:p>
            <a:pPr>
              <a:defRPr/>
            </a:pPr>
            <a:endParaRPr lang="es-MX"/>
          </a:p>
        </c:txPr>
        <c:crossAx val="106425344"/>
        <c:crosses val="autoZero"/>
        <c:auto val="1"/>
        <c:lblAlgn val="ctr"/>
        <c:lblOffset val="100"/>
      </c:catAx>
      <c:valAx>
        <c:axId val="106425344"/>
        <c:scaling>
          <c:orientation val="minMax"/>
        </c:scaling>
        <c:axPos val="l"/>
        <c:majorGridlines/>
        <c:numFmt formatCode="0.0" sourceLinked="1"/>
        <c:tickLblPos val="nextTo"/>
        <c:crossAx val="1064230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chart>
    <c:view3D>
      <c:perspective val="30"/>
    </c:view3D>
    <c:plotArea>
      <c:layout/>
      <c:bar3DChart>
        <c:barDir val="col"/>
        <c:grouping val="stacked"/>
        <c:ser>
          <c:idx val="1"/>
          <c:order val="0"/>
          <c:tx>
            <c:strRef>
              <c:f>'cuadro 3'!$C$1</c:f>
              <c:strCache>
                <c:ptCount val="1"/>
                <c:pt idx="0">
                  <c:v>GEM</c:v>
                </c:pt>
              </c:strCache>
            </c:strRef>
          </c:tx>
          <c:dLbls>
            <c:showVal val="1"/>
          </c:dLbls>
          <c:cat>
            <c:numRef>
              <c:f>'cuadro 3'!$A$2:$A$21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'cuadro 3'!$C$2:$C$21</c:f>
              <c:numCache>
                <c:formatCode>General</c:formatCode>
                <c:ptCount val="20"/>
                <c:pt idx="0">
                  <c:v>6.4</c:v>
                </c:pt>
                <c:pt idx="1">
                  <c:v>6.2</c:v>
                </c:pt>
                <c:pt idx="2">
                  <c:v>6.8</c:v>
                </c:pt>
                <c:pt idx="3">
                  <c:v>7.4</c:v>
                </c:pt>
                <c:pt idx="4">
                  <c:v>7.5</c:v>
                </c:pt>
                <c:pt idx="5">
                  <c:v>7.2</c:v>
                </c:pt>
                <c:pt idx="6">
                  <c:v>8.3000000000000007</c:v>
                </c:pt>
                <c:pt idx="7">
                  <c:v>8.4</c:v>
                </c:pt>
                <c:pt idx="8">
                  <c:v>8.9</c:v>
                </c:pt>
                <c:pt idx="9">
                  <c:v>9.4</c:v>
                </c:pt>
                <c:pt idx="10">
                  <c:v>10.8</c:v>
                </c:pt>
                <c:pt idx="11">
                  <c:v>11.8</c:v>
                </c:pt>
                <c:pt idx="12">
                  <c:v>12.2</c:v>
                </c:pt>
                <c:pt idx="13">
                  <c:v>12.9</c:v>
                </c:pt>
                <c:pt idx="14">
                  <c:v>13.4</c:v>
                </c:pt>
                <c:pt idx="15">
                  <c:v>11.5</c:v>
                </c:pt>
                <c:pt idx="16">
                  <c:v>12</c:v>
                </c:pt>
                <c:pt idx="17">
                  <c:v>11.9</c:v>
                </c:pt>
                <c:pt idx="18">
                  <c:v>12.7</c:v>
                </c:pt>
                <c:pt idx="19">
                  <c:v>13.9</c:v>
                </c:pt>
              </c:numCache>
            </c:numRef>
          </c:val>
        </c:ser>
        <c:ser>
          <c:idx val="2"/>
          <c:order val="1"/>
          <c:tx>
            <c:strRef>
              <c:f>'cuadro 3'!$D$1</c:f>
              <c:strCache>
                <c:ptCount val="1"/>
                <c:pt idx="0">
                  <c:v>GME</c:v>
                </c:pt>
              </c:strCache>
            </c:strRef>
          </c:tx>
          <c:dLbls>
            <c:showVal val="1"/>
          </c:dLbls>
          <c:cat>
            <c:numRef>
              <c:f>'cuadro 3'!$A$2:$A$21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'cuadro 3'!$D$2:$D$21</c:f>
              <c:numCache>
                <c:formatCode>General</c:formatCode>
                <c:ptCount val="20"/>
                <c:pt idx="0">
                  <c:v>5.3</c:v>
                </c:pt>
                <c:pt idx="1">
                  <c:v>3.2</c:v>
                </c:pt>
                <c:pt idx="2">
                  <c:v>3.4</c:v>
                </c:pt>
                <c:pt idx="3">
                  <c:v>3.9</c:v>
                </c:pt>
                <c:pt idx="4">
                  <c:v>4.2</c:v>
                </c:pt>
                <c:pt idx="5">
                  <c:v>4.5</c:v>
                </c:pt>
                <c:pt idx="6">
                  <c:v>5.5</c:v>
                </c:pt>
                <c:pt idx="7">
                  <c:v>5.7</c:v>
                </c:pt>
                <c:pt idx="8">
                  <c:v>6.1</c:v>
                </c:pt>
                <c:pt idx="9">
                  <c:v>6.3</c:v>
                </c:pt>
                <c:pt idx="10">
                  <c:v>7</c:v>
                </c:pt>
                <c:pt idx="11">
                  <c:v>7.6</c:v>
                </c:pt>
                <c:pt idx="12">
                  <c:v>8.1</c:v>
                </c:pt>
                <c:pt idx="13">
                  <c:v>8.5</c:v>
                </c:pt>
                <c:pt idx="14">
                  <c:v>8.6</c:v>
                </c:pt>
                <c:pt idx="15">
                  <c:v>7.2</c:v>
                </c:pt>
                <c:pt idx="16">
                  <c:v>7.3</c:v>
                </c:pt>
                <c:pt idx="17">
                  <c:v>7.8</c:v>
                </c:pt>
                <c:pt idx="18">
                  <c:v>8.4</c:v>
                </c:pt>
                <c:pt idx="19">
                  <c:v>9.1</c:v>
                </c:pt>
              </c:numCache>
            </c:numRef>
          </c:val>
        </c:ser>
        <c:ser>
          <c:idx val="3"/>
          <c:order val="2"/>
          <c:tx>
            <c:strRef>
              <c:f>'cuadro 3'!$B$1</c:f>
              <c:strCache>
                <c:ptCount val="1"/>
                <c:pt idx="0">
                  <c:v>Saldo</c:v>
                </c:pt>
              </c:strCache>
            </c:strRef>
          </c:tx>
          <c:dLbls>
            <c:showVal val="1"/>
          </c:dLbls>
          <c:cat>
            <c:numRef>
              <c:f>'cuadro 3'!$A$2:$A$21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'cuadro 3'!$B$2:$B$21</c:f>
              <c:numCache>
                <c:formatCode>General</c:formatCode>
                <c:ptCount val="20"/>
                <c:pt idx="0">
                  <c:v>1</c:v>
                </c:pt>
                <c:pt idx="1">
                  <c:v>3</c:v>
                </c:pt>
                <c:pt idx="2">
                  <c:v>3.4</c:v>
                </c:pt>
                <c:pt idx="3">
                  <c:v>3.5</c:v>
                </c:pt>
                <c:pt idx="4">
                  <c:v>3.3</c:v>
                </c:pt>
                <c:pt idx="5">
                  <c:v>2.7</c:v>
                </c:pt>
                <c:pt idx="6">
                  <c:v>2.8</c:v>
                </c:pt>
                <c:pt idx="7">
                  <c:v>2.7</c:v>
                </c:pt>
                <c:pt idx="8">
                  <c:v>2.8</c:v>
                </c:pt>
                <c:pt idx="9">
                  <c:v>3.1</c:v>
                </c:pt>
                <c:pt idx="10">
                  <c:v>3.8</c:v>
                </c:pt>
                <c:pt idx="11">
                  <c:v>4.2</c:v>
                </c:pt>
                <c:pt idx="12">
                  <c:v>4.0999999999999996</c:v>
                </c:pt>
                <c:pt idx="13">
                  <c:v>4.5</c:v>
                </c:pt>
                <c:pt idx="14">
                  <c:v>4.8</c:v>
                </c:pt>
                <c:pt idx="15">
                  <c:v>4.3</c:v>
                </c:pt>
                <c:pt idx="16">
                  <c:v>4.7</c:v>
                </c:pt>
                <c:pt idx="17">
                  <c:v>4</c:v>
                </c:pt>
                <c:pt idx="18">
                  <c:v>4.3</c:v>
                </c:pt>
                <c:pt idx="19">
                  <c:v>4.8</c:v>
                </c:pt>
              </c:numCache>
            </c:numRef>
          </c:val>
        </c:ser>
        <c:shape val="cylinder"/>
        <c:axId val="112653824"/>
        <c:axId val="112655744"/>
        <c:axId val="0"/>
      </c:bar3DChart>
      <c:catAx>
        <c:axId val="112653824"/>
        <c:scaling>
          <c:orientation val="minMax"/>
        </c:scaling>
        <c:axPos val="b"/>
        <c:numFmt formatCode="General" sourceLinked="1"/>
        <c:tickLblPos val="nextTo"/>
        <c:crossAx val="112655744"/>
        <c:crosses val="autoZero"/>
        <c:auto val="1"/>
        <c:lblAlgn val="ctr"/>
        <c:lblOffset val="100"/>
      </c:catAx>
      <c:valAx>
        <c:axId val="112655744"/>
        <c:scaling>
          <c:orientation val="minMax"/>
        </c:scaling>
        <c:axPos val="l"/>
        <c:majorGridlines/>
        <c:numFmt formatCode="General" sourceLinked="1"/>
        <c:tickLblPos val="nextTo"/>
        <c:crossAx val="11265382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chart>
    <c:view3D>
      <c:rAngAx val="1"/>
    </c:view3D>
    <c:plotArea>
      <c:layout/>
      <c:bar3DChart>
        <c:barDir val="col"/>
        <c:grouping val="stacked"/>
        <c:ser>
          <c:idx val="1"/>
          <c:order val="0"/>
          <c:tx>
            <c:strRef>
              <c:f>'cuadro 4'!$B$1</c:f>
              <c:strCache>
                <c:ptCount val="1"/>
                <c:pt idx="0">
                  <c:v>BALANZA PETROLERA</c:v>
                </c:pt>
              </c:strCache>
            </c:strRef>
          </c:tx>
          <c:dLbls>
            <c:showVal val="1"/>
          </c:dLbls>
          <c:cat>
            <c:numRef>
              <c:f>'cuadro 4'!$A$2:$A$21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'cuadro 4'!$B$2:$B$21</c:f>
              <c:numCache>
                <c:formatCode>General</c:formatCode>
                <c:ptCount val="20"/>
                <c:pt idx="0">
                  <c:v>5.2</c:v>
                </c:pt>
                <c:pt idx="1">
                  <c:v>6</c:v>
                </c:pt>
                <c:pt idx="2">
                  <c:v>8.7000000000000011</c:v>
                </c:pt>
                <c:pt idx="3">
                  <c:v>7</c:v>
                </c:pt>
                <c:pt idx="4">
                  <c:v>3.1</c:v>
                </c:pt>
                <c:pt idx="5">
                  <c:v>5.0999999999999996</c:v>
                </c:pt>
                <c:pt idx="6">
                  <c:v>8.2000000000000011</c:v>
                </c:pt>
                <c:pt idx="7">
                  <c:v>5.5</c:v>
                </c:pt>
                <c:pt idx="8">
                  <c:v>8</c:v>
                </c:pt>
                <c:pt idx="9">
                  <c:v>10.1</c:v>
                </c:pt>
                <c:pt idx="10">
                  <c:v>12.4</c:v>
                </c:pt>
                <c:pt idx="11">
                  <c:v>15.5</c:v>
                </c:pt>
                <c:pt idx="12">
                  <c:v>19.399999999999999</c:v>
                </c:pt>
                <c:pt idx="13">
                  <c:v>17.5</c:v>
                </c:pt>
                <c:pt idx="14">
                  <c:v>15</c:v>
                </c:pt>
                <c:pt idx="15">
                  <c:v>10.4</c:v>
                </c:pt>
                <c:pt idx="16">
                  <c:v>11.5</c:v>
                </c:pt>
                <c:pt idx="17">
                  <c:v>13.7</c:v>
                </c:pt>
                <c:pt idx="18">
                  <c:v>11.8</c:v>
                </c:pt>
                <c:pt idx="19">
                  <c:v>8.6</c:v>
                </c:pt>
              </c:numCache>
            </c:numRef>
          </c:val>
        </c:ser>
        <c:ser>
          <c:idx val="2"/>
          <c:order val="1"/>
          <c:tx>
            <c:strRef>
              <c:f>'cuadro 4'!$C$1</c:f>
              <c:strCache>
                <c:ptCount val="1"/>
                <c:pt idx="0">
                  <c:v>EXPORTACIONES</c:v>
                </c:pt>
              </c:strCache>
            </c:strRef>
          </c:tx>
          <c:dLbls>
            <c:showVal val="1"/>
          </c:dLbls>
          <c:cat>
            <c:numRef>
              <c:f>'cuadro 4'!$A$2:$A$21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'cuadro 4'!$C$2:$C$21</c:f>
              <c:numCache>
                <c:formatCode>General</c:formatCode>
                <c:ptCount val="20"/>
                <c:pt idx="0">
                  <c:v>7.6</c:v>
                </c:pt>
                <c:pt idx="1">
                  <c:v>8.6</c:v>
                </c:pt>
                <c:pt idx="2">
                  <c:v>11.8</c:v>
                </c:pt>
                <c:pt idx="3">
                  <c:v>11.5</c:v>
                </c:pt>
                <c:pt idx="4">
                  <c:v>7.3</c:v>
                </c:pt>
                <c:pt idx="5">
                  <c:v>10</c:v>
                </c:pt>
                <c:pt idx="6">
                  <c:v>16.100000000000001</c:v>
                </c:pt>
                <c:pt idx="7">
                  <c:v>13.2</c:v>
                </c:pt>
                <c:pt idx="8">
                  <c:v>14.8</c:v>
                </c:pt>
                <c:pt idx="9">
                  <c:v>18.600000000000001</c:v>
                </c:pt>
                <c:pt idx="10">
                  <c:v>23.7</c:v>
                </c:pt>
                <c:pt idx="11">
                  <c:v>31.9</c:v>
                </c:pt>
                <c:pt idx="12">
                  <c:v>39</c:v>
                </c:pt>
                <c:pt idx="13">
                  <c:v>43</c:v>
                </c:pt>
                <c:pt idx="14">
                  <c:v>50.6</c:v>
                </c:pt>
                <c:pt idx="15">
                  <c:v>30.8</c:v>
                </c:pt>
                <c:pt idx="16">
                  <c:v>41.7</c:v>
                </c:pt>
                <c:pt idx="17">
                  <c:v>56.4</c:v>
                </c:pt>
                <c:pt idx="18">
                  <c:v>53</c:v>
                </c:pt>
                <c:pt idx="19">
                  <c:v>49.5</c:v>
                </c:pt>
              </c:numCache>
            </c:numRef>
          </c:val>
        </c:ser>
        <c:ser>
          <c:idx val="3"/>
          <c:order val="2"/>
          <c:tx>
            <c:strRef>
              <c:f>'cuadro 4'!$D$1</c:f>
              <c:strCache>
                <c:ptCount val="1"/>
                <c:pt idx="0">
                  <c:v>IMPORTACIONES</c:v>
                </c:pt>
              </c:strCache>
            </c:strRef>
          </c:tx>
          <c:dLbls>
            <c:showVal val="1"/>
          </c:dLbls>
          <c:cat>
            <c:numRef>
              <c:f>'cuadro 4'!$A$2:$A$21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'cuadro 4'!$D$2:$D$21</c:f>
              <c:numCache>
                <c:formatCode>General</c:formatCode>
                <c:ptCount val="20"/>
                <c:pt idx="0">
                  <c:v>2.5</c:v>
                </c:pt>
                <c:pt idx="1">
                  <c:v>2.7</c:v>
                </c:pt>
                <c:pt idx="2">
                  <c:v>3.1</c:v>
                </c:pt>
                <c:pt idx="3">
                  <c:v>4.4000000000000004</c:v>
                </c:pt>
                <c:pt idx="4">
                  <c:v>4.2</c:v>
                </c:pt>
                <c:pt idx="5">
                  <c:v>4.8</c:v>
                </c:pt>
                <c:pt idx="6">
                  <c:v>8</c:v>
                </c:pt>
                <c:pt idx="7">
                  <c:v>7.6</c:v>
                </c:pt>
                <c:pt idx="8">
                  <c:v>6.8</c:v>
                </c:pt>
                <c:pt idx="9">
                  <c:v>8.5</c:v>
                </c:pt>
                <c:pt idx="10">
                  <c:v>11.2</c:v>
                </c:pt>
                <c:pt idx="11">
                  <c:v>16.399999999999999</c:v>
                </c:pt>
                <c:pt idx="12">
                  <c:v>19.600000000000001</c:v>
                </c:pt>
                <c:pt idx="13">
                  <c:v>25.5</c:v>
                </c:pt>
                <c:pt idx="14">
                  <c:v>35.700000000000003</c:v>
                </c:pt>
                <c:pt idx="15">
                  <c:v>20.5</c:v>
                </c:pt>
                <c:pt idx="16">
                  <c:v>30.2</c:v>
                </c:pt>
                <c:pt idx="17">
                  <c:v>42.7</c:v>
                </c:pt>
                <c:pt idx="18">
                  <c:v>41.1</c:v>
                </c:pt>
                <c:pt idx="19">
                  <c:v>40.9</c:v>
                </c:pt>
              </c:numCache>
            </c:numRef>
          </c:val>
        </c:ser>
        <c:shape val="cylinder"/>
        <c:axId val="113004928"/>
        <c:axId val="113006848"/>
        <c:axId val="0"/>
      </c:bar3DChart>
      <c:catAx>
        <c:axId val="113004928"/>
        <c:scaling>
          <c:orientation val="minMax"/>
        </c:scaling>
        <c:axPos val="b"/>
        <c:numFmt formatCode="General" sourceLinked="1"/>
        <c:tickLblPos val="nextTo"/>
        <c:crossAx val="113006848"/>
        <c:crosses val="autoZero"/>
        <c:auto val="1"/>
        <c:lblAlgn val="ctr"/>
        <c:lblOffset val="100"/>
      </c:catAx>
      <c:valAx>
        <c:axId val="113006848"/>
        <c:scaling>
          <c:orientation val="minMax"/>
        </c:scaling>
        <c:axPos val="l"/>
        <c:majorGridlines/>
        <c:numFmt formatCode="General" sourceLinked="1"/>
        <c:tickLblPos val="nextTo"/>
        <c:crossAx val="11300492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chart>
    <c:view3D>
      <c:perspective val="30"/>
    </c:view3D>
    <c:plotArea>
      <c:layout>
        <c:manualLayout>
          <c:layoutTarget val="inner"/>
          <c:xMode val="edge"/>
          <c:yMode val="edge"/>
          <c:x val="5.9859120663352146E-2"/>
          <c:y val="5.8367311089607431E-2"/>
          <c:w val="0.6161971830985935"/>
          <c:h val="0.78819444444444464"/>
        </c:manualLayout>
      </c:layout>
      <c:bar3DChart>
        <c:barDir val="col"/>
        <c:grouping val="standard"/>
        <c:ser>
          <c:idx val="1"/>
          <c:order val="0"/>
          <c:tx>
            <c:strRef>
              <c:f>Hoja1!$B$1</c:f>
              <c:strCache>
                <c:ptCount val="1"/>
                <c:pt idx="0">
                  <c:v>Mexicanos en los Estados Unidos (millones)</c:v>
                </c:pt>
              </c:strCache>
            </c:strRef>
          </c:tx>
          <c:dLbls>
            <c:dLbl>
              <c:idx val="1"/>
              <c:delete val="1"/>
            </c:dLbl>
            <c:dLbl>
              <c:idx val="2"/>
              <c:delete val="1"/>
            </c:dLbl>
            <c:dLbl>
              <c:idx val="3"/>
              <c:delete val="1"/>
            </c:dLbl>
            <c:dLbl>
              <c:idx val="4"/>
              <c:delete val="1"/>
            </c:dLbl>
            <c:dLbl>
              <c:idx val="5"/>
              <c:delete val="1"/>
            </c:dLbl>
            <c:dLbl>
              <c:idx val="6"/>
              <c:delete val="1"/>
            </c:dLbl>
            <c:dLbl>
              <c:idx val="8"/>
              <c:delete val="1"/>
            </c:dLbl>
            <c:dLbl>
              <c:idx val="9"/>
              <c:delete val="1"/>
            </c:dLbl>
            <c:dLbl>
              <c:idx val="10"/>
              <c:delete val="1"/>
            </c:dLbl>
            <c:dLbl>
              <c:idx val="12"/>
              <c:delete val="1"/>
            </c:dLbl>
            <c:dLbl>
              <c:idx val="14"/>
              <c:delete val="1"/>
            </c:dLbl>
            <c:dLbl>
              <c:idx val="16"/>
              <c:delete val="1"/>
            </c:dLbl>
            <c:dLbl>
              <c:idx val="18"/>
              <c:delete val="1"/>
            </c:dLbl>
            <c:showVal val="1"/>
          </c:dLbls>
          <c:cat>
            <c:numRef>
              <c:f>Hoja1!$A$2:$A$21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Hoja1!$B$2:$B$21</c:f>
              <c:numCache>
                <c:formatCode>0.0</c:formatCode>
                <c:ptCount val="20"/>
                <c:pt idx="0">
                  <c:v>6.5</c:v>
                </c:pt>
                <c:pt idx="1">
                  <c:v>7</c:v>
                </c:pt>
                <c:pt idx="2">
                  <c:v>6.9</c:v>
                </c:pt>
                <c:pt idx="3">
                  <c:v>7.3</c:v>
                </c:pt>
                <c:pt idx="4">
                  <c:v>7.4</c:v>
                </c:pt>
                <c:pt idx="5">
                  <c:v>7.4</c:v>
                </c:pt>
                <c:pt idx="6">
                  <c:v>8.1</c:v>
                </c:pt>
                <c:pt idx="7">
                  <c:v>8.5</c:v>
                </c:pt>
                <c:pt idx="8">
                  <c:v>9.9</c:v>
                </c:pt>
                <c:pt idx="9">
                  <c:v>10.200000000000001</c:v>
                </c:pt>
                <c:pt idx="10">
                  <c:v>10.7</c:v>
                </c:pt>
                <c:pt idx="11">
                  <c:v>11.1</c:v>
                </c:pt>
                <c:pt idx="12">
                  <c:v>11.1</c:v>
                </c:pt>
                <c:pt idx="13">
                  <c:v>11.8</c:v>
                </c:pt>
                <c:pt idx="14">
                  <c:v>11.8</c:v>
                </c:pt>
                <c:pt idx="15">
                  <c:v>11.9</c:v>
                </c:pt>
                <c:pt idx="16">
                  <c:v>11.9</c:v>
                </c:pt>
                <c:pt idx="17">
                  <c:v>11.6</c:v>
                </c:pt>
                <c:pt idx="18">
                  <c:v>11.9</c:v>
                </c:pt>
                <c:pt idx="19">
                  <c:v>11.8</c:v>
                </c:pt>
              </c:numCache>
            </c:numRef>
          </c:val>
        </c:ser>
        <c:ser>
          <c:idx val="2"/>
          <c:order val="1"/>
          <c:tx>
            <c:strRef>
              <c:f>Hoja1!$C$1</c:f>
              <c:strCache>
                <c:ptCount val="1"/>
                <c:pt idx="0">
                  <c:v>Remesas anuales (mmd)</c:v>
                </c:pt>
              </c:strCache>
            </c:strRef>
          </c:tx>
          <c:dLbls>
            <c:dLbl>
              <c:idx val="1"/>
              <c:delete val="1"/>
            </c:dLbl>
            <c:dLbl>
              <c:idx val="2"/>
              <c:delete val="1"/>
            </c:dLbl>
            <c:dLbl>
              <c:idx val="3"/>
              <c:delete val="1"/>
            </c:dLbl>
            <c:dLbl>
              <c:idx val="4"/>
              <c:delete val="1"/>
            </c:dLbl>
            <c:dLbl>
              <c:idx val="5"/>
              <c:delete val="1"/>
            </c:dLbl>
            <c:dLbl>
              <c:idx val="6"/>
              <c:layout>
                <c:manualLayout>
                  <c:x val="-5.8160668847692144E-3"/>
                  <c:y val="-3.2520316875918609E-3"/>
                </c:manualLayout>
              </c:layout>
              <c:showVal val="1"/>
            </c:dLbl>
            <c:dLbl>
              <c:idx val="7"/>
              <c:delete val="1"/>
            </c:dLbl>
            <c:dLbl>
              <c:idx val="8"/>
              <c:delete val="1"/>
            </c:dLbl>
            <c:dLbl>
              <c:idx val="9"/>
              <c:delete val="1"/>
            </c:dLbl>
            <c:dLbl>
              <c:idx val="10"/>
              <c:delete val="1"/>
            </c:dLbl>
            <c:dLbl>
              <c:idx val="11"/>
              <c:delete val="1"/>
            </c:dLbl>
            <c:dLbl>
              <c:idx val="12"/>
              <c:delete val="1"/>
            </c:dLbl>
            <c:dLbl>
              <c:idx val="14"/>
              <c:delete val="1"/>
            </c:dLbl>
            <c:showVal val="1"/>
          </c:dLbls>
          <c:cat>
            <c:numRef>
              <c:f>Hoja1!$A$2:$A$21</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Hoja1!$C$2:$C$21</c:f>
              <c:numCache>
                <c:formatCode>0.0</c:formatCode>
                <c:ptCount val="20"/>
                <c:pt idx="0">
                  <c:v>3.4749999999999988</c:v>
                </c:pt>
                <c:pt idx="1">
                  <c:v>3.673</c:v>
                </c:pt>
                <c:pt idx="2">
                  <c:v>4.2239999999999975</c:v>
                </c:pt>
                <c:pt idx="3">
                  <c:v>4.8649999999999896</c:v>
                </c:pt>
                <c:pt idx="4">
                  <c:v>5.6269999999999945</c:v>
                </c:pt>
                <c:pt idx="5">
                  <c:v>5.91</c:v>
                </c:pt>
                <c:pt idx="6">
                  <c:v>6.5730000000000004</c:v>
                </c:pt>
                <c:pt idx="7">
                  <c:v>8.8950000000000067</c:v>
                </c:pt>
                <c:pt idx="8">
                  <c:v>9.8140000000000001</c:v>
                </c:pt>
                <c:pt idx="9">
                  <c:v>15.138999999999999</c:v>
                </c:pt>
                <c:pt idx="10">
                  <c:v>18.332000000000001</c:v>
                </c:pt>
                <c:pt idx="11">
                  <c:v>21.687999999999999</c:v>
                </c:pt>
                <c:pt idx="12">
                  <c:v>25.567</c:v>
                </c:pt>
                <c:pt idx="13">
                  <c:v>26.059000000000001</c:v>
                </c:pt>
                <c:pt idx="14">
                  <c:v>25.145</c:v>
                </c:pt>
                <c:pt idx="15">
                  <c:v>21.306000000000001</c:v>
                </c:pt>
                <c:pt idx="16">
                  <c:v>21.303999999999988</c:v>
                </c:pt>
                <c:pt idx="17">
                  <c:v>22.803000000000001</c:v>
                </c:pt>
                <c:pt idx="18">
                  <c:v>22.437999999999999</c:v>
                </c:pt>
                <c:pt idx="19">
                  <c:v>21.891999999999999</c:v>
                </c:pt>
              </c:numCache>
            </c:numRef>
          </c:val>
        </c:ser>
        <c:shape val="cylinder"/>
        <c:axId val="114109440"/>
        <c:axId val="114721536"/>
        <c:axId val="73390272"/>
      </c:bar3DChart>
      <c:catAx>
        <c:axId val="114109440"/>
        <c:scaling>
          <c:orientation val="minMax"/>
        </c:scaling>
        <c:axPos val="b"/>
        <c:numFmt formatCode="General" sourceLinked="1"/>
        <c:tickLblPos val="nextTo"/>
        <c:txPr>
          <a:bodyPr rot="-5100000"/>
          <a:lstStyle/>
          <a:p>
            <a:pPr>
              <a:defRPr/>
            </a:pPr>
            <a:endParaRPr lang="es-MX"/>
          </a:p>
        </c:txPr>
        <c:crossAx val="114721536"/>
        <c:crosses val="autoZero"/>
        <c:auto val="1"/>
        <c:lblAlgn val="ctr"/>
        <c:lblOffset val="100"/>
      </c:catAx>
      <c:valAx>
        <c:axId val="114721536"/>
        <c:scaling>
          <c:orientation val="minMax"/>
        </c:scaling>
        <c:axPos val="l"/>
        <c:majorGridlines/>
        <c:numFmt formatCode="0.0" sourceLinked="1"/>
        <c:tickLblPos val="nextTo"/>
        <c:crossAx val="114109440"/>
        <c:crosses val="autoZero"/>
        <c:crossBetween val="between"/>
      </c:valAx>
      <c:serAx>
        <c:axId val="73390272"/>
        <c:scaling>
          <c:orientation val="minMax"/>
        </c:scaling>
        <c:delete val="1"/>
        <c:axPos val="b"/>
        <c:tickLblPos val="nextTo"/>
        <c:crossAx val="114721536"/>
        <c:crosses val="autoZero"/>
      </c:serAx>
    </c:plotArea>
    <c:legend>
      <c:legendPos val="r"/>
      <c:layout>
        <c:manualLayout>
          <c:xMode val="edge"/>
          <c:yMode val="edge"/>
          <c:x val="0.69382213170400553"/>
          <c:y val="0.34975327921764737"/>
          <c:w val="0.2926001357773253"/>
          <c:h val="0.30049344156470631"/>
        </c:manualLayout>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chart>
    <c:view3D>
      <c:rAngAx val="1"/>
    </c:view3D>
    <c:plotArea>
      <c:layout/>
      <c:bar3DChart>
        <c:barDir val="col"/>
        <c:grouping val="stacked"/>
        <c:ser>
          <c:idx val="1"/>
          <c:order val="0"/>
          <c:tx>
            <c:strRef>
              <c:f>'cuadro 7'!$B$2</c:f>
              <c:strCache>
                <c:ptCount val="1"/>
                <c:pt idx="0">
                  <c:v>Saldo de la IED</c:v>
                </c:pt>
              </c:strCache>
            </c:strRef>
          </c:tx>
          <c:dLbls>
            <c:showVal val="1"/>
          </c:dLbls>
          <c:cat>
            <c:numRef>
              <c:f>'cuadro 7'!$A$3:$A$15</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7'!$B$3:$B$15</c:f>
              <c:numCache>
                <c:formatCode>General</c:formatCode>
                <c:ptCount val="13"/>
                <c:pt idx="0">
                  <c:v>25.6</c:v>
                </c:pt>
                <c:pt idx="1">
                  <c:v>23.9</c:v>
                </c:pt>
                <c:pt idx="2">
                  <c:v>17.399999999999999</c:v>
                </c:pt>
                <c:pt idx="3">
                  <c:v>20.399999999999999</c:v>
                </c:pt>
                <c:pt idx="4">
                  <c:v>18</c:v>
                </c:pt>
                <c:pt idx="5">
                  <c:v>14.5</c:v>
                </c:pt>
                <c:pt idx="6">
                  <c:v>23.1</c:v>
                </c:pt>
                <c:pt idx="7">
                  <c:v>26.7</c:v>
                </c:pt>
                <c:pt idx="8">
                  <c:v>8.9</c:v>
                </c:pt>
                <c:pt idx="9">
                  <c:v>6.3</c:v>
                </c:pt>
                <c:pt idx="10">
                  <c:v>9.4</c:v>
                </c:pt>
                <c:pt idx="11">
                  <c:v>-12.2</c:v>
                </c:pt>
                <c:pt idx="12">
                  <c:v>25.2</c:v>
                </c:pt>
              </c:numCache>
            </c:numRef>
          </c:val>
        </c:ser>
        <c:ser>
          <c:idx val="2"/>
          <c:order val="1"/>
          <c:tx>
            <c:strRef>
              <c:f>'cuadro 7'!$C$2</c:f>
              <c:strCache>
                <c:ptCount val="1"/>
                <c:pt idx="0">
                  <c:v>Saldo turístico </c:v>
                </c:pt>
              </c:strCache>
            </c:strRef>
          </c:tx>
          <c:dLbls>
            <c:showVal val="1"/>
          </c:dLbls>
          <c:cat>
            <c:numRef>
              <c:f>'cuadro 7'!$A$3:$A$15</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7'!$C$3:$C$15</c:f>
              <c:numCache>
                <c:formatCode>General</c:formatCode>
                <c:ptCount val="13"/>
                <c:pt idx="0">
                  <c:v>2.7</c:v>
                </c:pt>
                <c:pt idx="1">
                  <c:v>2.8</c:v>
                </c:pt>
                <c:pt idx="2">
                  <c:v>3.1</c:v>
                </c:pt>
                <c:pt idx="3">
                  <c:v>3.8</c:v>
                </c:pt>
                <c:pt idx="4">
                  <c:v>4.2</c:v>
                </c:pt>
                <c:pt idx="5">
                  <c:v>4.0999999999999996</c:v>
                </c:pt>
                <c:pt idx="6">
                  <c:v>4.5</c:v>
                </c:pt>
                <c:pt idx="7">
                  <c:v>4.8</c:v>
                </c:pt>
                <c:pt idx="8">
                  <c:v>4.3</c:v>
                </c:pt>
                <c:pt idx="9">
                  <c:v>4.7</c:v>
                </c:pt>
                <c:pt idx="10">
                  <c:v>4</c:v>
                </c:pt>
                <c:pt idx="11">
                  <c:v>4.3</c:v>
                </c:pt>
                <c:pt idx="12">
                  <c:v>4.8</c:v>
                </c:pt>
              </c:numCache>
            </c:numRef>
          </c:val>
        </c:ser>
        <c:ser>
          <c:idx val="3"/>
          <c:order val="2"/>
          <c:tx>
            <c:strRef>
              <c:f>'cuadro 7'!$D$2</c:f>
              <c:strCache>
                <c:ptCount val="1"/>
                <c:pt idx="0">
                  <c:v>Saldo petrolero </c:v>
                </c:pt>
              </c:strCache>
            </c:strRef>
          </c:tx>
          <c:dLbls>
            <c:showVal val="1"/>
          </c:dLbls>
          <c:cat>
            <c:numRef>
              <c:f>'cuadro 7'!$A$3:$A$15</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7'!$D$3:$D$15</c:f>
              <c:numCache>
                <c:formatCode>General</c:formatCode>
                <c:ptCount val="13"/>
                <c:pt idx="0">
                  <c:v>5.5</c:v>
                </c:pt>
                <c:pt idx="1">
                  <c:v>8</c:v>
                </c:pt>
                <c:pt idx="2">
                  <c:v>10.1</c:v>
                </c:pt>
                <c:pt idx="3">
                  <c:v>12.4</c:v>
                </c:pt>
                <c:pt idx="4">
                  <c:v>15.5</c:v>
                </c:pt>
                <c:pt idx="5">
                  <c:v>19.399999999999999</c:v>
                </c:pt>
                <c:pt idx="6">
                  <c:v>17.5</c:v>
                </c:pt>
                <c:pt idx="7">
                  <c:v>15</c:v>
                </c:pt>
                <c:pt idx="8">
                  <c:v>10.4</c:v>
                </c:pt>
                <c:pt idx="9">
                  <c:v>11.5</c:v>
                </c:pt>
                <c:pt idx="10">
                  <c:v>13.7</c:v>
                </c:pt>
                <c:pt idx="11">
                  <c:v>11.8</c:v>
                </c:pt>
                <c:pt idx="12">
                  <c:v>8.6</c:v>
                </c:pt>
              </c:numCache>
            </c:numRef>
          </c:val>
        </c:ser>
        <c:ser>
          <c:idx val="4"/>
          <c:order val="3"/>
          <c:tx>
            <c:strRef>
              <c:f>'cuadro 7'!$E$2</c:f>
              <c:strCache>
                <c:ptCount val="1"/>
                <c:pt idx="0">
                  <c:v>Flujo anual de remesas </c:v>
                </c:pt>
              </c:strCache>
            </c:strRef>
          </c:tx>
          <c:dLbls>
            <c:showVal val="1"/>
          </c:dLbls>
          <c:cat>
            <c:numRef>
              <c:f>'cuadro 7'!$A$3:$A$15</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'cuadro 7'!$E$3:$E$15</c:f>
              <c:numCache>
                <c:formatCode>General</c:formatCode>
                <c:ptCount val="13"/>
                <c:pt idx="0">
                  <c:v>8.9</c:v>
                </c:pt>
                <c:pt idx="1">
                  <c:v>9.1</c:v>
                </c:pt>
                <c:pt idx="2">
                  <c:v>15.1</c:v>
                </c:pt>
                <c:pt idx="3">
                  <c:v>18.3</c:v>
                </c:pt>
                <c:pt idx="4">
                  <c:v>21.7</c:v>
                </c:pt>
                <c:pt idx="5">
                  <c:v>25.6</c:v>
                </c:pt>
                <c:pt idx="6">
                  <c:v>26.1</c:v>
                </c:pt>
                <c:pt idx="7">
                  <c:v>25.1</c:v>
                </c:pt>
                <c:pt idx="8">
                  <c:v>21.3</c:v>
                </c:pt>
                <c:pt idx="9">
                  <c:v>21.3</c:v>
                </c:pt>
                <c:pt idx="10">
                  <c:v>22.8</c:v>
                </c:pt>
                <c:pt idx="11">
                  <c:v>22.4</c:v>
                </c:pt>
                <c:pt idx="12">
                  <c:v>21.9</c:v>
                </c:pt>
              </c:numCache>
            </c:numRef>
          </c:val>
        </c:ser>
        <c:shape val="cylinder"/>
        <c:axId val="128017920"/>
        <c:axId val="128019456"/>
        <c:axId val="0"/>
      </c:bar3DChart>
      <c:catAx>
        <c:axId val="128017920"/>
        <c:scaling>
          <c:orientation val="minMax"/>
        </c:scaling>
        <c:axPos val="b"/>
        <c:numFmt formatCode="General" sourceLinked="1"/>
        <c:tickLblPos val="nextTo"/>
        <c:txPr>
          <a:bodyPr rot="-3660000"/>
          <a:lstStyle/>
          <a:p>
            <a:pPr>
              <a:defRPr/>
            </a:pPr>
            <a:endParaRPr lang="es-MX"/>
          </a:p>
        </c:txPr>
        <c:crossAx val="128019456"/>
        <c:crosses val="autoZero"/>
        <c:auto val="1"/>
        <c:lblAlgn val="ctr"/>
        <c:lblOffset val="100"/>
      </c:catAx>
      <c:valAx>
        <c:axId val="128019456"/>
        <c:scaling>
          <c:orientation val="minMax"/>
        </c:scaling>
        <c:axPos val="l"/>
        <c:majorGridlines/>
        <c:numFmt formatCode="General" sourceLinked="1"/>
        <c:tickLblPos val="nextTo"/>
        <c:crossAx val="12801792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F628-D0AE-444A-98F2-CE2AEB49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9318</Words>
  <Characters>65418</Characters>
  <Application>Microsoft Office Word</Application>
  <DocSecurity>0</DocSecurity>
  <Lines>1557</Lines>
  <Paragraphs>518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Francisco Herrera Lima</dc:creator>
  <cp:lastModifiedBy>Fernando Francisco Herrera Lima</cp:lastModifiedBy>
  <cp:revision>3</cp:revision>
  <dcterms:created xsi:type="dcterms:W3CDTF">2015-06-04T22:48:00Z</dcterms:created>
  <dcterms:modified xsi:type="dcterms:W3CDTF">2015-06-04T22:53:00Z</dcterms:modified>
</cp:coreProperties>
</file>